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28"/>
          <w:szCs w:val="32"/>
        </w:rPr>
      </w:pPr>
      <w:r>
        <w:rPr>
          <w:rFonts w:hint="eastAsia" w:ascii="黑体" w:eastAsia="黑体"/>
          <w:sz w:val="28"/>
          <w:szCs w:val="32"/>
        </w:rPr>
        <w:t>医学院·整合医学学院“本科生导师制”导师情况登记表</w:t>
      </w:r>
    </w:p>
    <w:tbl>
      <w:tblPr>
        <w:tblStyle w:val="2"/>
        <w:tblW w:w="87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1780"/>
        <w:gridCol w:w="1049"/>
        <w:gridCol w:w="1603"/>
        <w:gridCol w:w="1247"/>
        <w:gridCol w:w="1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仿宋_GB2312" w:eastAsia="仿宋_GB2312"/>
                <w:sz w:val="24"/>
              </w:rPr>
            </w:pPr>
            <w:r>
              <w:rPr>
                <w:rFonts w:hint="eastAsia" w:ascii="仿宋_GB2312" w:eastAsia="仿宋_GB2312"/>
                <w:sz w:val="24"/>
              </w:rPr>
              <w:t>姓 名</w:t>
            </w:r>
          </w:p>
        </w:tc>
        <w:tc>
          <w:tcPr>
            <w:tcW w:w="1780" w:type="dxa"/>
            <w:vAlign w:val="center"/>
          </w:tcPr>
          <w:p>
            <w:pPr>
              <w:jc w:val="center"/>
              <w:rPr>
                <w:rFonts w:ascii="仿宋_GB2312" w:eastAsia="仿宋_GB2312"/>
                <w:b/>
                <w:sz w:val="24"/>
              </w:rPr>
            </w:pPr>
            <w:r>
              <w:rPr>
                <w:rFonts w:ascii="仿宋_GB2312" w:eastAsia="仿宋_GB2312"/>
                <w:b/>
                <w:sz w:val="24"/>
              </w:rPr>
              <w:t>王长明</w:t>
            </w:r>
          </w:p>
        </w:tc>
        <w:tc>
          <w:tcPr>
            <w:tcW w:w="1049" w:type="dxa"/>
            <w:vAlign w:val="center"/>
          </w:tcPr>
          <w:p>
            <w:pPr>
              <w:jc w:val="center"/>
              <w:rPr>
                <w:rFonts w:ascii="仿宋_GB2312" w:eastAsia="仿宋_GB2312"/>
                <w:sz w:val="24"/>
              </w:rPr>
            </w:pPr>
            <w:r>
              <w:rPr>
                <w:rFonts w:hint="eastAsia" w:ascii="仿宋_GB2312" w:eastAsia="仿宋_GB2312"/>
                <w:sz w:val="24"/>
              </w:rPr>
              <w:t>性别</w:t>
            </w:r>
          </w:p>
        </w:tc>
        <w:tc>
          <w:tcPr>
            <w:tcW w:w="1603" w:type="dxa"/>
            <w:vAlign w:val="center"/>
          </w:tcPr>
          <w:p>
            <w:pPr>
              <w:jc w:val="center"/>
              <w:rPr>
                <w:rFonts w:ascii="仿宋_GB2312" w:eastAsia="仿宋_GB2312"/>
                <w:sz w:val="24"/>
              </w:rPr>
            </w:pPr>
            <w:r>
              <w:rPr>
                <w:rFonts w:ascii="仿宋_GB2312" w:eastAsia="仿宋_GB2312"/>
                <w:sz w:val="24"/>
              </w:rPr>
              <w:t>男</w:t>
            </w:r>
          </w:p>
        </w:tc>
        <w:tc>
          <w:tcPr>
            <w:tcW w:w="1247" w:type="dxa"/>
            <w:vAlign w:val="center"/>
          </w:tcPr>
          <w:p>
            <w:pPr>
              <w:jc w:val="center"/>
              <w:rPr>
                <w:rFonts w:ascii="仿宋_GB2312" w:eastAsia="仿宋_GB2312"/>
                <w:sz w:val="24"/>
              </w:rPr>
            </w:pPr>
            <w:r>
              <w:rPr>
                <w:rFonts w:hint="eastAsia" w:ascii="仿宋_GB2312" w:eastAsia="仿宋_GB2312"/>
                <w:sz w:val="24"/>
              </w:rPr>
              <w:t>教研室</w:t>
            </w:r>
          </w:p>
        </w:tc>
        <w:tc>
          <w:tcPr>
            <w:tcW w:w="1718" w:type="dxa"/>
            <w:vAlign w:val="center"/>
          </w:tcPr>
          <w:p>
            <w:pPr>
              <w:jc w:val="center"/>
              <w:rPr>
                <w:rFonts w:ascii="仿宋_GB2312" w:eastAsia="仿宋_GB2312"/>
                <w:sz w:val="24"/>
              </w:rPr>
            </w:pPr>
            <w:r>
              <w:rPr>
                <w:rFonts w:ascii="仿宋_GB2312" w:eastAsia="仿宋_GB2312"/>
                <w:sz w:val="24"/>
              </w:rPr>
              <w:t>解剖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仿宋_GB2312" w:eastAsia="仿宋_GB2312"/>
                <w:sz w:val="24"/>
              </w:rPr>
            </w:pPr>
            <w:r>
              <w:rPr>
                <w:rFonts w:hint="eastAsia" w:ascii="仿宋_GB2312" w:eastAsia="仿宋_GB2312"/>
                <w:sz w:val="24"/>
              </w:rPr>
              <w:t>专业方向</w:t>
            </w:r>
          </w:p>
        </w:tc>
        <w:tc>
          <w:tcPr>
            <w:tcW w:w="7397" w:type="dxa"/>
            <w:gridSpan w:val="5"/>
            <w:vAlign w:val="center"/>
          </w:tcPr>
          <w:p>
            <w:pPr>
              <w:jc w:val="center"/>
              <w:rPr>
                <w:rFonts w:ascii="仿宋_GB2312" w:eastAsia="仿宋_GB2312"/>
                <w:sz w:val="24"/>
              </w:rPr>
            </w:pPr>
            <w:r>
              <w:rPr>
                <w:rFonts w:ascii="仿宋_GB2312" w:eastAsia="仿宋_GB2312"/>
                <w:sz w:val="24"/>
              </w:rPr>
              <w:t>神经生物学</w:t>
            </w:r>
            <w:r>
              <w:rPr>
                <w:rFonts w:hint="eastAsia" w:ascii="仿宋_GB2312" w:eastAsia="仿宋_GB2312"/>
                <w:sz w:val="24"/>
              </w:rPr>
              <w:t>-</w:t>
            </w:r>
            <w:r>
              <w:rPr>
                <w:rFonts w:ascii="仿宋_GB2312" w:eastAsia="仿宋_GB2312"/>
                <w:sz w:val="24"/>
              </w:rPr>
              <w:t>疼痛的分子生物学机制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仿宋_GB2312" w:eastAsia="仿宋_GB2312"/>
                <w:sz w:val="24"/>
              </w:rPr>
            </w:pPr>
            <w:r>
              <w:rPr>
                <w:rFonts w:hint="eastAsia" w:ascii="仿宋_GB2312" w:eastAsia="仿宋_GB2312"/>
                <w:sz w:val="24"/>
              </w:rPr>
              <w:t>联系电话</w:t>
            </w:r>
          </w:p>
        </w:tc>
        <w:tc>
          <w:tcPr>
            <w:tcW w:w="2829" w:type="dxa"/>
            <w:gridSpan w:val="2"/>
            <w:vAlign w:val="center"/>
          </w:tcPr>
          <w:p>
            <w:pPr>
              <w:jc w:val="center"/>
              <w:rPr>
                <w:rFonts w:ascii="仿宋_GB2312" w:eastAsia="仿宋_GB2312"/>
                <w:sz w:val="24"/>
              </w:rPr>
            </w:pPr>
          </w:p>
        </w:tc>
        <w:tc>
          <w:tcPr>
            <w:tcW w:w="1603" w:type="dxa"/>
            <w:vAlign w:val="center"/>
          </w:tcPr>
          <w:p>
            <w:pPr>
              <w:jc w:val="center"/>
              <w:rPr>
                <w:rFonts w:eastAsia="仿宋_GB2312"/>
                <w:sz w:val="24"/>
              </w:rPr>
            </w:pPr>
            <w:r>
              <w:rPr>
                <w:rFonts w:eastAsia="仿宋_GB2312"/>
                <w:sz w:val="24"/>
              </w:rPr>
              <w:t>E-mail</w:t>
            </w:r>
          </w:p>
        </w:tc>
        <w:tc>
          <w:tcPr>
            <w:tcW w:w="2965" w:type="dxa"/>
            <w:gridSpan w:val="2"/>
            <w:vAlign w:val="center"/>
          </w:tcPr>
          <w:p>
            <w:pPr>
              <w:jc w:val="center"/>
              <w:rPr>
                <w:rFonts w:ascii="仿宋_GB2312" w:eastAsia="仿宋_GB2312"/>
                <w:sz w:val="24"/>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4134" w:type="dxa"/>
            <w:gridSpan w:val="3"/>
            <w:vAlign w:val="center"/>
          </w:tcPr>
          <w:p>
            <w:pPr>
              <w:jc w:val="center"/>
              <w:rPr>
                <w:rFonts w:ascii="仿宋_GB2312" w:eastAsia="仿宋_GB2312"/>
                <w:sz w:val="24"/>
              </w:rPr>
            </w:pPr>
            <w:r>
              <w:rPr>
                <w:rFonts w:hint="eastAsia" w:ascii="仿宋_GB2312" w:eastAsia="仿宋_GB2312"/>
                <w:sz w:val="24"/>
              </w:rPr>
              <w:t>意向带学生数（人）</w:t>
            </w:r>
          </w:p>
        </w:tc>
        <w:tc>
          <w:tcPr>
            <w:tcW w:w="4568" w:type="dxa"/>
            <w:gridSpan w:val="3"/>
            <w:vAlign w:val="center"/>
          </w:tcPr>
          <w:p>
            <w:pPr>
              <w:jc w:val="center"/>
              <w:rPr>
                <w:rFonts w:ascii="仿宋_GB2312" w:eastAsia="仿宋_GB2312"/>
                <w:b/>
                <w:sz w:val="24"/>
              </w:rPr>
            </w:pPr>
            <w:r>
              <w:rPr>
                <w:rFonts w:hint="eastAsia" w:ascii="仿宋_GB2312" w:eastAsia="仿宋_GB2312"/>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0" w:hRule="atLeast"/>
        </w:trPr>
        <w:tc>
          <w:tcPr>
            <w:tcW w:w="8702" w:type="dxa"/>
            <w:gridSpan w:val="6"/>
          </w:tcPr>
          <w:p>
            <w:pPr>
              <w:rPr>
                <w:rFonts w:ascii="仿宋_GB2312" w:eastAsia="仿宋_GB2312"/>
                <w:sz w:val="24"/>
              </w:rPr>
            </w:pPr>
            <w:r>
              <w:rPr>
                <w:rFonts w:hint="eastAsia" w:ascii="仿宋_GB2312" w:eastAsia="仿宋_GB2312"/>
                <w:sz w:val="24"/>
              </w:rPr>
              <w:t>导师个人简介：</w:t>
            </w:r>
          </w:p>
          <w:p>
            <w:pPr>
              <w:pStyle w:val="5"/>
              <w:numPr>
                <w:ilvl w:val="0"/>
                <w:numId w:val="1"/>
              </w:numPr>
              <w:spacing w:line="360" w:lineRule="auto"/>
              <w:ind w:firstLineChars="0"/>
              <w:rPr>
                <w:rFonts w:hint="eastAsia" w:ascii="黑体" w:hAnsi="黑体" w:eastAsia="黑体" w:cs="Times New Roman"/>
                <w:sz w:val="24"/>
                <w:szCs w:val="24"/>
              </w:rPr>
            </w:pPr>
            <w:r>
              <w:rPr>
                <w:rFonts w:hint="eastAsia" w:ascii="黑体" w:hAnsi="黑体" w:eastAsia="黑体" w:cs="Times New Roman"/>
                <w:sz w:val="24"/>
                <w:szCs w:val="24"/>
              </w:rPr>
              <w:t>个人情况</w:t>
            </w:r>
          </w:p>
          <w:p>
            <w:pPr>
              <w:spacing w:line="360" w:lineRule="auto"/>
              <w:rPr>
                <w:rFonts w:ascii="Times New Roman" w:hAnsi="宋体" w:cs="Times New Roman"/>
              </w:rPr>
            </w:pPr>
            <w:r>
              <w:rPr>
                <w:rFonts w:ascii="Times New Roman" w:hAnsi="宋体" w:cs="Times New Roman"/>
              </w:rPr>
              <w:t>王长明</w:t>
            </w:r>
            <w:r>
              <w:rPr>
                <w:rFonts w:hint="eastAsia" w:ascii="Times New Roman" w:hAnsi="宋体" w:cs="Times New Roman"/>
              </w:rPr>
              <w:t>，男，1982.7.南京中医药大学医学院，副教授。</w:t>
            </w:r>
          </w:p>
          <w:p>
            <w:pPr>
              <w:pStyle w:val="5"/>
              <w:numPr>
                <w:ilvl w:val="0"/>
                <w:numId w:val="1"/>
              </w:numPr>
              <w:spacing w:line="360" w:lineRule="auto"/>
              <w:ind w:firstLineChars="0"/>
              <w:rPr>
                <w:rFonts w:ascii="黑体" w:hAnsi="黑体" w:eastAsia="黑体" w:cs="Times New Roman"/>
                <w:sz w:val="24"/>
                <w:szCs w:val="24"/>
              </w:rPr>
            </w:pPr>
            <w:r>
              <w:rPr>
                <w:rFonts w:hint="eastAsia" w:ascii="黑体" w:hAnsi="黑体" w:eastAsia="黑体" w:cs="Times New Roman"/>
                <w:sz w:val="24"/>
                <w:szCs w:val="24"/>
              </w:rPr>
              <w:t>教育背景</w:t>
            </w:r>
          </w:p>
          <w:p>
            <w:pPr>
              <w:spacing w:line="360" w:lineRule="auto"/>
              <w:rPr>
                <w:rFonts w:ascii="Times New Roman" w:hAnsi="Times New Roman" w:cs="Times New Roman"/>
              </w:rPr>
            </w:pPr>
            <w:r>
              <w:rPr>
                <w:rFonts w:ascii="Times New Roman" w:hAnsi="Times New Roman" w:cs="Times New Roman"/>
              </w:rPr>
              <w:t>2012/9 -2015/6</w:t>
            </w:r>
            <w:r>
              <w:rPr>
                <w:rFonts w:hint="eastAsia" w:ascii="Times New Roman" w:hAnsi="宋体" w:cs="Times New Roman"/>
              </w:rPr>
              <w:t>，南京中医药大学，痛觉神经生理学，博士，导师：唐宗湘</w:t>
            </w:r>
          </w:p>
          <w:p>
            <w:pPr>
              <w:spacing w:line="360" w:lineRule="auto"/>
              <w:rPr>
                <w:rFonts w:ascii="Times New Roman" w:hAnsi="Times New Roman" w:cs="Times New Roman"/>
              </w:rPr>
            </w:pPr>
            <w:r>
              <w:rPr>
                <w:rFonts w:ascii="Times New Roman" w:hAnsi="Times New Roman" w:cs="Times New Roman"/>
              </w:rPr>
              <w:t>2006/9 - 2009/6</w:t>
            </w:r>
            <w:r>
              <w:rPr>
                <w:rFonts w:hint="eastAsia" w:ascii="Times New Roman" w:hAnsi="宋体" w:cs="Times New Roman"/>
              </w:rPr>
              <w:t>，山东大学，人体解剖与组织胚胎学，硕士，导师：田铧</w:t>
            </w:r>
          </w:p>
          <w:p>
            <w:pPr>
              <w:spacing w:line="360" w:lineRule="auto"/>
              <w:rPr>
                <w:rFonts w:ascii="Times New Roman" w:hAnsi="宋体" w:cs="Times New Roman"/>
              </w:rPr>
            </w:pPr>
            <w:r>
              <w:rPr>
                <w:rFonts w:ascii="Times New Roman" w:hAnsi="Times New Roman" w:cs="Times New Roman"/>
              </w:rPr>
              <w:t>2001/9 - 2006/6</w:t>
            </w:r>
            <w:r>
              <w:rPr>
                <w:rFonts w:hint="eastAsia" w:ascii="Times New Roman" w:hAnsi="宋体" w:cs="Times New Roman"/>
              </w:rPr>
              <w:t>，滨州医学院，临床医学，学士</w:t>
            </w:r>
          </w:p>
          <w:p>
            <w:pPr>
              <w:spacing w:line="360" w:lineRule="auto"/>
              <w:rPr>
                <w:rFonts w:ascii="Times New Roman" w:hAnsi="宋体" w:cs="Times New Roman"/>
              </w:rPr>
            </w:pPr>
            <w:r>
              <w:rPr>
                <w:rFonts w:hint="eastAsia" w:ascii="Times New Roman" w:hAnsi="宋体" w:cs="Times New Roman"/>
              </w:rPr>
              <w:t xml:space="preserve">  三、工作经历</w:t>
            </w:r>
          </w:p>
          <w:p>
            <w:pPr>
              <w:spacing w:line="360" w:lineRule="auto"/>
              <w:rPr>
                <w:rFonts w:ascii="Times New Roman" w:hAnsi="宋体" w:cs="Times New Roman"/>
              </w:rPr>
            </w:pPr>
            <w:r>
              <w:rPr>
                <w:rFonts w:hint="eastAsia" w:ascii="Times New Roman" w:hAnsi="宋体" w:cs="Times New Roman"/>
              </w:rPr>
              <w:t>2009/10-今     南京中医药大学，人体解剖与组织胚胎学系</w:t>
            </w:r>
          </w:p>
          <w:p>
            <w:pPr>
              <w:spacing w:line="360" w:lineRule="auto"/>
              <w:rPr>
                <w:rFonts w:ascii="Times New Roman" w:hAnsi="Times New Roman" w:cs="Times New Roman"/>
              </w:rPr>
            </w:pPr>
            <w:r>
              <w:rPr>
                <w:rFonts w:hint="eastAsia" w:ascii="Times New Roman" w:hAnsi="宋体" w:cs="Times New Roman"/>
              </w:rPr>
              <w:t>2018/10-2020/6 美国约翰霍普金斯大学，访问学者。</w:t>
            </w:r>
          </w:p>
          <w:p>
            <w:pPr>
              <w:spacing w:line="360" w:lineRule="auto"/>
              <w:ind w:firstLine="240" w:firstLineChars="100"/>
              <w:rPr>
                <w:rFonts w:ascii="黑体" w:hAnsi="黑体" w:eastAsia="黑体" w:cs="Times New Roman"/>
                <w:sz w:val="24"/>
              </w:rPr>
            </w:pPr>
            <w:r>
              <w:rPr>
                <w:rFonts w:hint="eastAsia" w:ascii="黑体" w:hAnsi="黑体" w:eastAsia="黑体" w:cs="Times New Roman"/>
                <w:sz w:val="24"/>
              </w:rPr>
              <w:t>四、科研经历</w:t>
            </w:r>
          </w:p>
          <w:p>
            <w:pPr>
              <w:spacing w:line="360" w:lineRule="auto"/>
              <w:rPr>
                <w:rFonts w:ascii="Times New Roman" w:hAnsi="宋体" w:cs="Times New Roman"/>
              </w:rPr>
            </w:pPr>
            <w:r>
              <w:rPr>
                <w:rFonts w:hint="eastAsia" w:ascii="Times New Roman" w:hAnsi="宋体" w:cs="Times New Roman"/>
              </w:rPr>
              <w:t>（1）2018.10-2020.4 美国约翰.霍普金斯大学， 访问学者，导师：董欣中教授：从事痛觉和痒觉分子生物学机制研究；</w:t>
            </w:r>
          </w:p>
          <w:p>
            <w:pPr>
              <w:spacing w:line="360" w:lineRule="auto"/>
              <w:rPr>
                <w:rFonts w:ascii="Times New Roman" w:hAnsi="宋体" w:cs="Times New Roman"/>
              </w:rPr>
            </w:pPr>
            <w:r>
              <w:rPr>
                <w:rFonts w:hint="eastAsia" w:ascii="Times New Roman" w:hAnsi="宋体" w:cs="Times New Roman"/>
              </w:rPr>
              <w:t>（2）2011.9-2018.9 南京中医药大学，唐宗湘教授课题组：慢性疼痛外周机制及中医药镇痛研究；</w:t>
            </w:r>
          </w:p>
          <w:p>
            <w:pPr>
              <w:spacing w:line="360" w:lineRule="auto"/>
              <w:rPr>
                <w:rFonts w:ascii="Times New Roman" w:hAnsi="宋体" w:cs="Times New Roman"/>
              </w:rPr>
            </w:pPr>
            <w:r>
              <w:rPr>
                <w:rFonts w:hint="eastAsia" w:ascii="Times New Roman" w:hAnsi="宋体" w:cs="Times New Roman"/>
              </w:rPr>
              <w:t>（3）2006.9-2009.6 山东大学，田铧教授课题组：淋巴管再生研究。</w:t>
            </w:r>
          </w:p>
          <w:p>
            <w:pPr>
              <w:spacing w:line="360" w:lineRule="auto"/>
              <w:ind w:firstLine="240" w:firstLineChars="100"/>
              <w:rPr>
                <w:rFonts w:ascii="黑体" w:hAnsi="黑体" w:eastAsia="黑体" w:cs="Times New Roman"/>
                <w:sz w:val="24"/>
              </w:rPr>
            </w:pPr>
            <w:r>
              <w:rPr>
                <w:rFonts w:hint="eastAsia" w:ascii="黑体" w:hAnsi="黑体" w:eastAsia="黑体" w:cs="Times New Roman"/>
                <w:sz w:val="24"/>
              </w:rPr>
              <w:t>五、主持课题</w:t>
            </w:r>
          </w:p>
          <w:p>
            <w:pPr>
              <w:spacing w:line="360" w:lineRule="auto"/>
              <w:rPr>
                <w:rFonts w:ascii="Times New Roman" w:hAnsi="Times New Roman" w:cs="Times New Roman"/>
              </w:rPr>
            </w:pPr>
            <w:r>
              <w:rPr>
                <w:rFonts w:hint="eastAsia" w:ascii="Times New Roman" w:hAnsi="Times New Roman" w:cs="Times New Roman"/>
              </w:rPr>
              <w:t>（1）国家自然科学基金青年基金，</w:t>
            </w:r>
            <w:r>
              <w:rPr>
                <w:rFonts w:ascii="Times New Roman" w:hAnsi="Times New Roman" w:cs="Times New Roman"/>
              </w:rPr>
              <w:t>81600966</w:t>
            </w:r>
            <w:r>
              <w:rPr>
                <w:rFonts w:hint="eastAsia" w:ascii="Times New Roman" w:hAnsi="Times New Roman" w:cs="Times New Roman"/>
              </w:rPr>
              <w:t>，PIRT调节TRPV1介导的骨癌痛机理研究，2017-</w:t>
            </w:r>
            <w:r>
              <w:rPr>
                <w:rFonts w:ascii="Times New Roman" w:hAnsi="Times New Roman" w:cs="Times New Roman"/>
              </w:rPr>
              <w:t>2019</w:t>
            </w:r>
            <w:r>
              <w:rPr>
                <w:rFonts w:hint="eastAsia" w:ascii="Times New Roman" w:hAnsi="Times New Roman" w:cs="Times New Roman"/>
              </w:rPr>
              <w:t>，17万元，主持。</w:t>
            </w:r>
          </w:p>
          <w:p>
            <w:pPr>
              <w:spacing w:line="360" w:lineRule="auto"/>
              <w:rPr>
                <w:rFonts w:ascii="Times New Roman" w:hAnsi="Times New Roman" w:cs="Times New Roman"/>
              </w:rPr>
            </w:pPr>
            <w:r>
              <w:rPr>
                <w:rFonts w:hint="eastAsia" w:ascii="Times New Roman" w:hAnsi="Times New Roman" w:cs="Times New Roman"/>
              </w:rPr>
              <w:t>（2）江苏省自然科学基金青年基金，</w:t>
            </w:r>
            <w:r>
              <w:rPr>
                <w:rFonts w:ascii="Times New Roman" w:hAnsi="Times New Roman" w:cs="Times New Roman"/>
              </w:rPr>
              <w:t>BK20161042</w:t>
            </w:r>
            <w:r>
              <w:rPr>
                <w:rFonts w:hint="eastAsia" w:ascii="Times New Roman" w:hAnsi="Times New Roman" w:cs="Times New Roman"/>
              </w:rPr>
              <w:t>，PIRT调节骨癌痛的外周神经机理研究，2016-</w:t>
            </w:r>
            <w:r>
              <w:rPr>
                <w:rFonts w:ascii="Times New Roman" w:hAnsi="Times New Roman" w:cs="Times New Roman"/>
              </w:rPr>
              <w:t>2019</w:t>
            </w:r>
            <w:r>
              <w:rPr>
                <w:rFonts w:hint="eastAsia" w:ascii="Times New Roman" w:hAnsi="Times New Roman" w:cs="Times New Roman"/>
              </w:rPr>
              <w:t>，20万元，主持。</w:t>
            </w:r>
          </w:p>
          <w:p>
            <w:pPr>
              <w:spacing w:line="360" w:lineRule="auto"/>
              <w:rPr>
                <w:rFonts w:ascii="Times New Roman" w:hAnsi="Times New Roman" w:cs="Times New Roman"/>
              </w:rPr>
            </w:pPr>
            <w:r>
              <w:rPr>
                <w:rFonts w:hint="eastAsia" w:ascii="Times New Roman" w:hAnsi="Times New Roman" w:cs="Times New Roman"/>
              </w:rPr>
              <w:t>（3）江苏省高校自然基金，</w:t>
            </w:r>
            <w:r>
              <w:rPr>
                <w:rFonts w:ascii="Times New Roman" w:hAnsi="Times New Roman" w:cs="Times New Roman"/>
              </w:rPr>
              <w:t>16KJB320005</w:t>
            </w:r>
            <w:r>
              <w:rPr>
                <w:rFonts w:hint="eastAsia" w:ascii="Times New Roman" w:hAnsi="Times New Roman" w:cs="Times New Roman"/>
              </w:rPr>
              <w:t>，Pirt和TRPV1共介导的骨癌痛机理研究，2016-</w:t>
            </w:r>
            <w:r>
              <w:rPr>
                <w:rFonts w:ascii="Times New Roman" w:hAnsi="Times New Roman" w:cs="Times New Roman"/>
              </w:rPr>
              <w:t>2018</w:t>
            </w:r>
            <w:r>
              <w:rPr>
                <w:rFonts w:hint="eastAsia" w:ascii="Times New Roman" w:hAnsi="Times New Roman" w:cs="Times New Roman"/>
              </w:rPr>
              <w:t>，3万元，主持。</w:t>
            </w:r>
          </w:p>
          <w:p>
            <w:pPr>
              <w:spacing w:line="360" w:lineRule="auto"/>
              <w:rPr>
                <w:rFonts w:ascii="Times New Roman" w:hAnsi="Times New Roman" w:cs="Times New Roman"/>
              </w:rPr>
            </w:pPr>
            <w:r>
              <w:rPr>
                <w:rFonts w:hint="eastAsia" w:ascii="Times New Roman" w:hAnsi="Times New Roman" w:cs="Times New Roman"/>
              </w:rPr>
              <w:t>（4）</w:t>
            </w:r>
            <w:r>
              <w:rPr>
                <w:rFonts w:hint="eastAsia" w:ascii="Times New Roman" w:hAnsi="宋体" w:cs="Times New Roman"/>
              </w:rPr>
              <w:t>南京中医药大学青年基金，</w:t>
            </w:r>
            <w:r>
              <w:rPr>
                <w:rFonts w:ascii="Times New Roman" w:hAnsi="Times New Roman" w:cs="Times New Roman"/>
              </w:rPr>
              <w:t>11XZR3</w:t>
            </w:r>
            <w:r>
              <w:rPr>
                <w:rFonts w:hint="eastAsia" w:ascii="Times New Roman" w:hAnsi="宋体" w:cs="Times New Roman"/>
              </w:rPr>
              <w:t>，子宫传入神经你行追踪及痛觉相关背根神经节神经元研究，</w:t>
            </w:r>
            <w:r>
              <w:rPr>
                <w:rFonts w:ascii="Times New Roman" w:hAnsi="Times New Roman" w:cs="Times New Roman"/>
              </w:rPr>
              <w:t>2012-2013</w:t>
            </w:r>
            <w:r>
              <w:rPr>
                <w:rFonts w:hint="eastAsia" w:ascii="Times New Roman" w:hAnsi="宋体" w:cs="Times New Roman"/>
              </w:rPr>
              <w:t>，</w:t>
            </w:r>
            <w:r>
              <w:rPr>
                <w:rFonts w:ascii="Times New Roman" w:hAnsi="Times New Roman" w:cs="Times New Roman"/>
              </w:rPr>
              <w:t>2</w:t>
            </w:r>
            <w:r>
              <w:rPr>
                <w:rFonts w:hint="eastAsia" w:ascii="Times New Roman" w:hAnsi="宋体" w:cs="Times New Roman"/>
              </w:rPr>
              <w:t>万元，已结题，主持。</w:t>
            </w:r>
          </w:p>
          <w:p>
            <w:pPr>
              <w:spacing w:line="360" w:lineRule="auto"/>
              <w:ind w:firstLine="240" w:firstLineChars="100"/>
              <w:rPr>
                <w:rFonts w:ascii="黑体" w:hAnsi="黑体" w:eastAsia="黑体" w:cs="Times New Roman"/>
                <w:sz w:val="24"/>
              </w:rPr>
            </w:pPr>
            <w:r>
              <w:rPr>
                <w:rFonts w:hint="eastAsia" w:ascii="黑体" w:hAnsi="黑体" w:eastAsia="黑体" w:cs="Times New Roman"/>
                <w:sz w:val="24"/>
              </w:rPr>
              <w:t>六、发表论文</w:t>
            </w:r>
          </w:p>
          <w:p>
            <w:pPr>
              <w:spacing w:line="360" w:lineRule="auto"/>
              <w:rPr>
                <w:rFonts w:ascii="Times New Roman" w:hAnsi="Times New Roman" w:cs="Times New Roman" w:eastAsiaTheme="majorEastAsia"/>
                <w:sz w:val="24"/>
              </w:rPr>
            </w:pPr>
            <w:r>
              <w:rPr>
                <w:rFonts w:ascii="Times New Roman" w:hAnsi="Times New Roman" w:cs="Times New Roman" w:eastAsiaTheme="majorEastAsia"/>
                <w:sz w:val="24"/>
              </w:rPr>
              <w:t>（1）</w:t>
            </w:r>
            <w:r>
              <w:rPr>
                <w:rFonts w:hint="eastAsia" w:ascii="Times New Roman" w:hAnsi="Times New Roman" w:cs="Times New Roman" w:eastAsiaTheme="majorEastAsia"/>
                <w:sz w:val="24"/>
              </w:rPr>
              <w:t xml:space="preserve"> </w:t>
            </w:r>
            <w:r>
              <w:rPr>
                <w:rFonts w:ascii="Times New Roman" w:hAnsi="Times New Roman" w:cs="Times New Roman" w:eastAsiaTheme="majorEastAsia"/>
                <w:b/>
                <w:sz w:val="24"/>
              </w:rPr>
              <w:t>Wang C</w:t>
            </w:r>
            <w:r>
              <w:rPr>
                <w:rFonts w:ascii="Times New Roman" w:hAnsi="Times New Roman" w:cs="Times New Roman" w:eastAsiaTheme="majorEastAsia"/>
                <w:sz w:val="24"/>
              </w:rPr>
              <w:t>, Gu L, Ruan Y, Geng X, Xu M, Yang N, Yu L, Jiang Y, Zhu C, Yang Y, Zhou Y, Guan X, Luo W, Liu Q, Dong X, Yu G, Lan L, Tang Z.</w:t>
            </w:r>
            <w:r>
              <w:rPr>
                <w:rFonts w:hint="eastAsia" w:ascii="Times New Roman" w:hAnsi="Times New Roman" w:cs="Times New Roman" w:eastAsiaTheme="majorEastAsia"/>
                <w:sz w:val="24"/>
              </w:rPr>
              <w:t xml:space="preserve"> </w:t>
            </w:r>
            <w:r>
              <w:rPr>
                <w:rFonts w:ascii="Times New Roman" w:hAnsi="Times New Roman" w:cs="Times New Roman" w:eastAsiaTheme="majorEastAsia"/>
                <w:sz w:val="24"/>
              </w:rPr>
              <w:t>Facilitation of MrgprD by TRP-A1 promotes neuropathic pain.</w:t>
            </w:r>
            <w:r>
              <w:rPr>
                <w:rFonts w:hint="eastAsia" w:ascii="Times New Roman" w:hAnsi="Times New Roman" w:cs="Times New Roman" w:eastAsiaTheme="majorEastAsia"/>
                <w:sz w:val="24"/>
              </w:rPr>
              <w:t xml:space="preserve"> </w:t>
            </w:r>
            <w:r>
              <w:rPr>
                <w:rFonts w:ascii="Times New Roman" w:hAnsi="Times New Roman" w:cs="Times New Roman" w:eastAsiaTheme="majorEastAsia"/>
                <w:sz w:val="24"/>
              </w:rPr>
              <w:t>FASEB J. FASEB J. 2019 Jan;33(1):1360-1373. doi: 10.1096/fj.201800615RR.（</w:t>
            </w:r>
            <w:r>
              <w:rPr>
                <w:rFonts w:ascii="Times New Roman" w:hAnsi="Times New Roman" w:cs="Times New Roman" w:eastAsiaTheme="majorEastAsia"/>
                <w:b/>
                <w:sz w:val="24"/>
              </w:rPr>
              <w:t>IF: 5.</w:t>
            </w:r>
            <w:r>
              <w:rPr>
                <w:rFonts w:hint="eastAsia" w:ascii="Times New Roman" w:hAnsi="Times New Roman" w:cs="Times New Roman" w:eastAsiaTheme="majorEastAsia"/>
                <w:b/>
                <w:sz w:val="24"/>
              </w:rPr>
              <w:t>5</w:t>
            </w:r>
            <w:r>
              <w:rPr>
                <w:rFonts w:ascii="Times New Roman" w:hAnsi="Times New Roman" w:cs="Times New Roman" w:eastAsiaTheme="majorEastAsia"/>
                <w:b/>
                <w:sz w:val="24"/>
              </w:rPr>
              <w:t>9</w:t>
            </w:r>
            <w:r>
              <w:rPr>
                <w:rFonts w:hint="eastAsia" w:ascii="Times New Roman" w:hAnsi="Times New Roman" w:cs="Times New Roman" w:eastAsiaTheme="majorEastAsia"/>
                <w:b/>
                <w:sz w:val="24"/>
              </w:rPr>
              <w:t>5</w:t>
            </w:r>
            <w:r>
              <w:rPr>
                <w:rFonts w:ascii="Times New Roman" w:hAnsi="Times New Roman" w:cs="Times New Roman" w:eastAsiaTheme="majorEastAsia"/>
                <w:sz w:val="24"/>
              </w:rPr>
              <w:t xml:space="preserve"> ）</w:t>
            </w:r>
          </w:p>
          <w:p>
            <w:pPr>
              <w:spacing w:line="360" w:lineRule="auto"/>
              <w:rPr>
                <w:rFonts w:ascii="Times New Roman" w:hAnsi="Times New Roman" w:cs="Times New Roman" w:eastAsiaTheme="majorEastAsia"/>
                <w:sz w:val="24"/>
              </w:rPr>
            </w:pPr>
            <w:r>
              <w:rPr>
                <w:rFonts w:ascii="Times New Roman" w:hAnsi="Times New Roman" w:cs="Times New Roman" w:eastAsiaTheme="majorEastAsia"/>
                <w:sz w:val="24"/>
              </w:rPr>
              <w:t>（2）</w:t>
            </w:r>
            <w:r>
              <w:rPr>
                <w:rFonts w:hint="eastAsia" w:ascii="Times New Roman" w:hAnsi="Times New Roman" w:cs="Times New Roman" w:eastAsiaTheme="majorEastAsia"/>
                <w:sz w:val="24"/>
              </w:rPr>
              <w:t xml:space="preserve"> </w:t>
            </w:r>
            <w:r>
              <w:rPr>
                <w:rFonts w:ascii="Times New Roman" w:hAnsi="Times New Roman" w:cs="Times New Roman" w:eastAsiaTheme="majorEastAsia"/>
                <w:sz w:val="24"/>
              </w:rPr>
              <w:t xml:space="preserve">Ruan Y, Gu L, Yan J, Guo J, Geng X, Shi H, Yu G, Zhu C, Yang Y, Zhou Y, </w:t>
            </w:r>
            <w:r>
              <w:rPr>
                <w:rFonts w:ascii="Times New Roman" w:hAnsi="Times New Roman" w:cs="Times New Roman" w:eastAsiaTheme="majorEastAsia"/>
                <w:b/>
                <w:sz w:val="24"/>
              </w:rPr>
              <w:t>Wang C</w:t>
            </w:r>
            <w:r>
              <w:rPr>
                <w:rFonts w:hint="eastAsia" w:ascii="Times New Roman" w:hAnsi="Times New Roman" w:cs="Times New Roman" w:eastAsiaTheme="majorEastAsia"/>
                <w:b/>
                <w:sz w:val="24"/>
              </w:rPr>
              <w:t xml:space="preserve"> (Co-corresponding author)</w:t>
            </w:r>
            <w:r>
              <w:rPr>
                <w:rFonts w:ascii="Times New Roman" w:hAnsi="Times New Roman" w:cs="Times New Roman" w:eastAsiaTheme="majorEastAsia"/>
                <w:sz w:val="24"/>
              </w:rPr>
              <w:t>, Tang Z. An effective and concise device for detecting cold allodynia in mice.</w:t>
            </w:r>
            <w:r>
              <w:rPr>
                <w:rFonts w:hint="eastAsia" w:ascii="Times New Roman" w:hAnsi="Times New Roman" w:cs="Times New Roman" w:eastAsiaTheme="majorEastAsia"/>
                <w:sz w:val="24"/>
              </w:rPr>
              <w:t xml:space="preserve"> </w:t>
            </w:r>
            <w:r>
              <w:rPr>
                <w:rFonts w:ascii="Times New Roman" w:hAnsi="Times New Roman" w:cs="Times New Roman" w:eastAsiaTheme="majorEastAsia"/>
                <w:sz w:val="24"/>
              </w:rPr>
              <w:t>Sci Rep. 2018 Sep 18;8(1):14002. doi: 10.1038/s41598-018-31741-7.</w:t>
            </w:r>
            <w:r>
              <w:rPr>
                <w:rFonts w:hint="eastAsia" w:ascii="Times New Roman" w:hAnsi="Times New Roman" w:cs="Times New Roman" w:eastAsiaTheme="majorEastAsia"/>
                <w:b/>
                <w:sz w:val="24"/>
              </w:rPr>
              <w:t xml:space="preserve"> (IF: 4.122)</w:t>
            </w:r>
          </w:p>
          <w:p>
            <w:pPr>
              <w:spacing w:line="360" w:lineRule="auto"/>
              <w:rPr>
                <w:rFonts w:ascii="Times New Roman" w:hAnsi="Times New Roman" w:cs="Times New Roman" w:eastAsiaTheme="majorEastAsia"/>
                <w:sz w:val="24"/>
              </w:rPr>
            </w:pPr>
            <w:r>
              <w:rPr>
                <w:rFonts w:ascii="Times New Roman" w:hAnsi="Times New Roman" w:cs="Times New Roman" w:eastAsiaTheme="majorEastAsia"/>
                <w:sz w:val="24"/>
              </w:rPr>
              <w:t xml:space="preserve">（3） </w:t>
            </w:r>
            <w:r>
              <w:rPr>
                <w:rFonts w:ascii="Times New Roman" w:hAnsi="Times New Roman" w:cs="Times New Roman" w:eastAsiaTheme="majorEastAsia"/>
                <w:b/>
                <w:sz w:val="24"/>
              </w:rPr>
              <w:t>Wang, C.</w:t>
            </w:r>
            <w:r>
              <w:rPr>
                <w:rFonts w:ascii="Times New Roman" w:hAnsi="Times New Roman" w:cs="Times New Roman" w:eastAsiaTheme="majorEastAsia"/>
                <w:sz w:val="24"/>
              </w:rPr>
              <w:t>, Gu, L., Ruan, Y., Gegen, T., Yu, L., Zhu, C., Yang, Y., Zhou, Y., Yu, G., and Tang, Z. (2018) Pirt Together with TRPV1 Is Involved in the Regulation of Neuropathic Pain. Neural plasticity 2018, 4861491</w:t>
            </w:r>
            <w:r>
              <w:rPr>
                <w:rFonts w:hint="eastAsia" w:ascii="Times New Roman" w:hAnsi="Times New Roman" w:cs="Times New Roman" w:eastAsiaTheme="majorEastAsia"/>
                <w:sz w:val="24"/>
              </w:rPr>
              <w:t>.</w:t>
            </w:r>
            <w:r>
              <w:rPr>
                <w:rFonts w:ascii="Times New Roman" w:hAnsi="Times New Roman" w:cs="Times New Roman" w:eastAsiaTheme="majorEastAsia"/>
                <w:sz w:val="24"/>
              </w:rPr>
              <w:t>（</w:t>
            </w:r>
            <w:r>
              <w:rPr>
                <w:rFonts w:ascii="Times New Roman" w:hAnsi="Times New Roman" w:cs="Times New Roman" w:eastAsiaTheme="majorEastAsia"/>
                <w:b/>
                <w:sz w:val="24"/>
              </w:rPr>
              <w:t>IF:3.</w:t>
            </w:r>
            <w:r>
              <w:rPr>
                <w:rFonts w:hint="eastAsia" w:ascii="Times New Roman" w:hAnsi="Times New Roman" w:cs="Times New Roman" w:eastAsiaTheme="majorEastAsia"/>
                <w:b/>
                <w:sz w:val="24"/>
              </w:rPr>
              <w:t>591</w:t>
            </w:r>
            <w:r>
              <w:rPr>
                <w:rFonts w:ascii="Times New Roman" w:hAnsi="Times New Roman" w:cs="Times New Roman" w:eastAsiaTheme="majorEastAsia"/>
                <w:sz w:val="24"/>
              </w:rPr>
              <w:t>）</w:t>
            </w:r>
          </w:p>
          <w:p>
            <w:pPr>
              <w:spacing w:line="360" w:lineRule="auto"/>
              <w:rPr>
                <w:rFonts w:ascii="Times New Roman" w:hAnsi="Times New Roman" w:cs="Times New Roman" w:eastAsiaTheme="majorEastAsia"/>
                <w:sz w:val="24"/>
              </w:rPr>
            </w:pPr>
            <w:r>
              <w:rPr>
                <w:rFonts w:hint="eastAsia" w:ascii="Times New Roman" w:hAnsi="Times New Roman" w:cs="Times New Roman" w:eastAsiaTheme="majorEastAsia"/>
                <w:sz w:val="24"/>
              </w:rPr>
              <w:t>（</w:t>
            </w:r>
            <w:r>
              <w:rPr>
                <w:rFonts w:ascii="Times New Roman" w:hAnsi="Times New Roman" w:cs="Times New Roman" w:eastAsiaTheme="majorEastAsia"/>
                <w:sz w:val="24"/>
              </w:rPr>
              <w:t>4</w:t>
            </w:r>
            <w:r>
              <w:rPr>
                <w:rFonts w:hint="eastAsia" w:ascii="Times New Roman" w:hAnsi="Times New Roman" w:cs="Times New Roman" w:eastAsiaTheme="majorEastAsia"/>
                <w:sz w:val="24"/>
              </w:rPr>
              <w:t>）</w:t>
            </w:r>
            <w:r>
              <w:rPr>
                <w:rFonts w:hint="eastAsia" w:ascii="Times New Roman" w:hAnsi="Times New Roman" w:cs="Times New Roman" w:eastAsiaTheme="majorEastAsia"/>
                <w:b/>
                <w:sz w:val="24"/>
              </w:rPr>
              <w:t xml:space="preserve"> </w:t>
            </w:r>
            <w:r>
              <w:rPr>
                <w:rFonts w:ascii="Times New Roman" w:hAnsi="Times New Roman" w:cs="Times New Roman" w:eastAsiaTheme="majorEastAsia"/>
                <w:b/>
                <w:sz w:val="24"/>
              </w:rPr>
              <w:t>Wang C,</w:t>
            </w:r>
            <w:r>
              <w:rPr>
                <w:rFonts w:ascii="Times New Roman" w:hAnsi="Times New Roman" w:cs="Times New Roman" w:eastAsiaTheme="majorEastAsia"/>
                <w:sz w:val="24"/>
              </w:rPr>
              <w:t xml:space="preserve"> Wang Z, Yang Y, Zhu C, Wu G, Yu G, Jian T, Yang N, Shi H, Tang M, He Q, Lan L, Liu Q, Guan Y, Dong X, Duan J*, Tang Z*. (2015) Pirt contributes to uterine contraction-induced pain in mice. Mol Pain, 11(1): 57.（</w:t>
            </w:r>
            <w:r>
              <w:rPr>
                <w:rFonts w:ascii="Times New Roman" w:hAnsi="Times New Roman" w:cs="Times New Roman" w:eastAsiaTheme="majorEastAsia"/>
                <w:b/>
                <w:sz w:val="24"/>
              </w:rPr>
              <w:t>IF=3.</w:t>
            </w:r>
            <w:r>
              <w:rPr>
                <w:rFonts w:hint="eastAsia" w:ascii="Times New Roman" w:hAnsi="Times New Roman" w:cs="Times New Roman" w:eastAsiaTheme="majorEastAsia"/>
                <w:b/>
                <w:sz w:val="24"/>
              </w:rPr>
              <w:t>10</w:t>
            </w:r>
            <w:r>
              <w:rPr>
                <w:rFonts w:ascii="Times New Roman" w:hAnsi="Times New Roman" w:cs="Times New Roman" w:eastAsiaTheme="majorEastAsia"/>
                <w:sz w:val="24"/>
              </w:rPr>
              <w:t>）</w:t>
            </w:r>
          </w:p>
          <w:p>
            <w:pPr>
              <w:spacing w:line="360" w:lineRule="auto"/>
              <w:rPr>
                <w:rFonts w:ascii="Times New Roman" w:hAnsi="Times New Roman" w:cs="Times New Roman" w:eastAsiaTheme="majorEastAsia"/>
                <w:sz w:val="24"/>
              </w:rPr>
            </w:pPr>
            <w:r>
              <w:rPr>
                <w:rFonts w:hint="eastAsia" w:ascii="Times New Roman" w:hAnsi="Times New Roman" w:cs="Times New Roman" w:eastAsiaTheme="majorEastAsia"/>
                <w:sz w:val="24"/>
              </w:rPr>
              <w:t>（</w:t>
            </w:r>
            <w:r>
              <w:rPr>
                <w:rFonts w:ascii="Times New Roman" w:hAnsi="Times New Roman" w:cs="Times New Roman" w:eastAsiaTheme="majorEastAsia"/>
                <w:sz w:val="24"/>
              </w:rPr>
              <w:t>5</w:t>
            </w:r>
            <w:r>
              <w:rPr>
                <w:rFonts w:hint="eastAsia" w:ascii="Times New Roman" w:hAnsi="Times New Roman" w:cs="Times New Roman" w:eastAsiaTheme="majorEastAsia"/>
                <w:sz w:val="24"/>
              </w:rPr>
              <w:t>）</w:t>
            </w:r>
            <w:r>
              <w:rPr>
                <w:rFonts w:ascii="Times New Roman" w:hAnsi="Times New Roman" w:cs="Times New Roman" w:eastAsiaTheme="majorEastAsia"/>
                <w:sz w:val="24"/>
              </w:rPr>
              <w:t xml:space="preserve"> D. Hu, </w:t>
            </w:r>
            <w:r>
              <w:rPr>
                <w:rFonts w:ascii="Times New Roman" w:hAnsi="Times New Roman" w:cs="Times New Roman" w:eastAsiaTheme="majorEastAsia"/>
                <w:b/>
                <w:sz w:val="24"/>
              </w:rPr>
              <w:t>C. Wang（co-first author</w:t>
            </w:r>
            <w:r>
              <w:rPr>
                <w:rFonts w:ascii="Times New Roman" w:hAnsi="Times New Roman" w:cs="Times New Roman" w:eastAsiaTheme="majorEastAsia"/>
                <w:sz w:val="24"/>
              </w:rPr>
              <w:t>）, F. Li, S. Su, N. Yang, Y. Yang, C. Zhu, H. Shi, L. Yu, X. Geng, L. Gu, X. Yuan, Z. Wang, G. Yu, and Z. Tang, A Combined Water Extract of Frankincense and Myrrh Alleviates Neuropathic Pain in Mice via Modulation of TRPV1. Neural plasticity 2017 (2017) 3710821.（</w:t>
            </w:r>
            <w:r>
              <w:rPr>
                <w:rFonts w:ascii="Times New Roman" w:hAnsi="Times New Roman" w:cs="Times New Roman" w:eastAsiaTheme="majorEastAsia"/>
                <w:b/>
                <w:sz w:val="24"/>
              </w:rPr>
              <w:t>IF:3.</w:t>
            </w:r>
            <w:r>
              <w:rPr>
                <w:rFonts w:hint="eastAsia" w:ascii="Times New Roman" w:hAnsi="Times New Roman" w:cs="Times New Roman" w:eastAsiaTheme="majorEastAsia"/>
                <w:b/>
                <w:sz w:val="24"/>
              </w:rPr>
              <w:t>161</w:t>
            </w:r>
            <w:r>
              <w:rPr>
                <w:rFonts w:ascii="Times New Roman" w:hAnsi="Times New Roman" w:cs="Times New Roman" w:eastAsiaTheme="majorEastAsia"/>
                <w:sz w:val="24"/>
              </w:rPr>
              <w:t>）；</w:t>
            </w:r>
          </w:p>
          <w:p>
            <w:pPr>
              <w:spacing w:line="360" w:lineRule="auto"/>
              <w:rPr>
                <w:rFonts w:ascii="Times New Roman" w:hAnsi="Times New Roman" w:cs="Times New Roman" w:eastAsiaTheme="majorEastAsia"/>
                <w:sz w:val="24"/>
              </w:rPr>
            </w:pPr>
            <w:r>
              <w:rPr>
                <w:rFonts w:hint="eastAsia" w:ascii="Times New Roman" w:hAnsi="Times New Roman" w:cs="Times New Roman" w:eastAsiaTheme="majorEastAsia"/>
                <w:sz w:val="24"/>
              </w:rPr>
              <w:t>（</w:t>
            </w:r>
            <w:r>
              <w:rPr>
                <w:rFonts w:ascii="Times New Roman" w:hAnsi="Times New Roman" w:cs="Times New Roman" w:eastAsiaTheme="majorEastAsia"/>
                <w:sz w:val="24"/>
              </w:rPr>
              <w:t>6</w:t>
            </w:r>
            <w:r>
              <w:rPr>
                <w:rFonts w:hint="eastAsia" w:ascii="Times New Roman" w:hAnsi="Times New Roman" w:cs="Times New Roman" w:eastAsiaTheme="majorEastAsia"/>
                <w:sz w:val="24"/>
              </w:rPr>
              <w:t>）</w:t>
            </w:r>
            <w:r>
              <w:rPr>
                <w:rFonts w:ascii="Times New Roman" w:hAnsi="Times New Roman" w:cs="Times New Roman" w:eastAsiaTheme="majorEastAsia"/>
                <w:sz w:val="24"/>
              </w:rPr>
              <w:t xml:space="preserve"> </w:t>
            </w:r>
            <w:r>
              <w:rPr>
                <w:rFonts w:ascii="Times New Roman" w:hAnsi="Times New Roman" w:cs="Times New Roman" w:eastAsiaTheme="majorEastAsia"/>
                <w:b/>
                <w:sz w:val="24"/>
              </w:rPr>
              <w:t>W. C,</w:t>
            </w:r>
            <w:r>
              <w:rPr>
                <w:rFonts w:ascii="Times New Roman" w:hAnsi="Times New Roman" w:cs="Times New Roman" w:eastAsiaTheme="majorEastAsia"/>
                <w:sz w:val="24"/>
              </w:rPr>
              <w:t xml:space="preserve"> G. L, Y. N, G. X, R. Y, Y. L, H. D, Z. C, Y. Y, Y. G, and T. Z, Mrgprd is required in neuropathic pain and is functionally depend on TRPA1. Annal of Anatomy 212. (2017) 284 ；（</w:t>
            </w:r>
            <w:r>
              <w:rPr>
                <w:rFonts w:ascii="Times New Roman" w:hAnsi="Times New Roman" w:cs="Times New Roman" w:eastAsiaTheme="majorEastAsia"/>
                <w:b/>
                <w:sz w:val="24"/>
              </w:rPr>
              <w:t>IF=</w:t>
            </w:r>
            <w:r>
              <w:rPr>
                <w:rFonts w:hint="eastAsia" w:ascii="Times New Roman" w:hAnsi="Times New Roman" w:cs="Times New Roman" w:eastAsiaTheme="majorEastAsia"/>
                <w:b/>
                <w:sz w:val="24"/>
              </w:rPr>
              <w:t>1</w:t>
            </w:r>
            <w:r>
              <w:rPr>
                <w:rFonts w:ascii="Times New Roman" w:hAnsi="Times New Roman" w:cs="Times New Roman" w:eastAsiaTheme="majorEastAsia"/>
                <w:b/>
                <w:sz w:val="24"/>
              </w:rPr>
              <w:t>.</w:t>
            </w:r>
            <w:r>
              <w:rPr>
                <w:rFonts w:hint="eastAsia" w:ascii="Times New Roman" w:hAnsi="Times New Roman" w:cs="Times New Roman" w:eastAsiaTheme="majorEastAsia"/>
                <w:b/>
                <w:sz w:val="24"/>
              </w:rPr>
              <w:t>8</w:t>
            </w:r>
            <w:r>
              <w:rPr>
                <w:rFonts w:ascii="Times New Roman" w:hAnsi="Times New Roman" w:cs="Times New Roman" w:eastAsiaTheme="majorEastAsia"/>
                <w:sz w:val="24"/>
              </w:rPr>
              <w:t>）</w:t>
            </w:r>
          </w:p>
          <w:p>
            <w:pPr>
              <w:pStyle w:val="4"/>
              <w:spacing w:line="360" w:lineRule="auto"/>
              <w:ind w:firstLine="0" w:firstLineChars="0"/>
              <w:outlineLvl w:val="0"/>
              <w:rPr>
                <w:rFonts w:ascii="Times New Roman" w:hAnsi="Times New Roman" w:cs="Times New Roman"/>
              </w:rPr>
            </w:pPr>
            <w:r>
              <w:rPr>
                <w:rFonts w:hint="eastAsia" w:ascii="Times New Roman" w:hAnsi="Times New Roman" w:cs="Times New Roman"/>
              </w:rPr>
              <w:t>（7）</w:t>
            </w:r>
            <w:r>
              <w:rPr>
                <w:rFonts w:ascii="Times New Roman" w:hAnsi="Times New Roman" w:cs="Times New Roman"/>
                <w:b/>
              </w:rPr>
              <w:t>Wang CM</w:t>
            </w:r>
            <w:r>
              <w:rPr>
                <w:rFonts w:ascii="Times New Roman" w:hAnsi="Times New Roman" w:cs="Times New Roman"/>
              </w:rPr>
              <w:t xml:space="preserve">, Yu G, Jian TY, Yang NN, </w:t>
            </w:r>
            <w:r>
              <w:rPr>
                <w:rFonts w:ascii="Times New Roman" w:hAnsi="Times New Roman" w:cs="Times New Roman"/>
                <w:b/>
              </w:rPr>
              <w:t>Tang ZX</w:t>
            </w:r>
            <w:r>
              <w:rPr>
                <w:rFonts w:ascii="Times New Roman" w:hAnsi="Times New Roman" w:cs="Times New Roman"/>
              </w:rPr>
              <w:t xml:space="preserve">*. </w:t>
            </w:r>
            <w:r>
              <w:rPr>
                <w:rFonts w:ascii="Times New Roman" w:hAnsi="Times New Roman" w:cs="Times New Roman"/>
                <w:b/>
              </w:rPr>
              <w:t xml:space="preserve">(2014) </w:t>
            </w:r>
            <w:r>
              <w:rPr>
                <w:rFonts w:ascii="Times New Roman" w:hAnsi="Times New Roman" w:cs="Times New Roman"/>
              </w:rPr>
              <w:t xml:space="preserve">Two-photon microscopy-a prospective tool in the research of Traditional Medicine. Research journal of biotechnology, 9(1): 90-94. </w:t>
            </w:r>
          </w:p>
          <w:p>
            <w:pPr>
              <w:pStyle w:val="4"/>
              <w:spacing w:line="360" w:lineRule="auto"/>
              <w:ind w:firstLine="0" w:firstLineChars="0"/>
              <w:outlineLvl w:val="0"/>
              <w:rPr>
                <w:rFonts w:ascii="Times New Roman" w:hAnsi="Times New Roman" w:cs="Times New Roman"/>
              </w:rPr>
            </w:pPr>
            <w:r>
              <w:rPr>
                <w:rFonts w:hint="eastAsia" w:ascii="Times New Roman" w:hAnsi="Times New Roman" w:cs="Times New Roman"/>
              </w:rPr>
              <w:t>（8）</w:t>
            </w:r>
            <w:r>
              <w:rPr>
                <w:rFonts w:ascii="Times New Roman" w:hAnsi="Times New Roman" w:cs="Times New Roman"/>
                <w:b/>
              </w:rPr>
              <w:t>Wang CM</w:t>
            </w:r>
            <w:r>
              <w:rPr>
                <w:rFonts w:ascii="Times New Roman" w:hAnsi="Times New Roman" w:cs="Times New Roman"/>
              </w:rPr>
              <w:t xml:space="preserve">, Li X, </w:t>
            </w:r>
            <w:r>
              <w:rPr>
                <w:rFonts w:ascii="Times New Roman" w:hAnsi="Times New Roman" w:cs="Times New Roman"/>
                <w:b/>
              </w:rPr>
              <w:t>Tian H</w:t>
            </w:r>
            <w:r>
              <w:rPr>
                <w:rFonts w:ascii="Times New Roman" w:hAnsi="Times New Roman" w:cs="Times New Roman"/>
              </w:rPr>
              <w:t xml:space="preserve">*, Wang SK. </w:t>
            </w:r>
            <w:r>
              <w:rPr>
                <w:rFonts w:ascii="Times New Roman" w:hAnsi="Times New Roman" w:cs="Times New Roman"/>
                <w:b/>
              </w:rPr>
              <w:t>(2011)</w:t>
            </w:r>
            <w:r>
              <w:rPr>
                <w:rFonts w:ascii="Times New Roman" w:hAnsi="Times New Roman" w:cs="Times New Roman"/>
              </w:rPr>
              <w:t xml:space="preserve"> Monocytes can be induced to express lymphatic phenotypes. Lymphology, 44: 48-53. (IF=1.8) </w:t>
            </w:r>
          </w:p>
          <w:p>
            <w:pPr>
              <w:spacing w:line="440" w:lineRule="exact"/>
              <w:rPr>
                <w:rFonts w:cs="楷体_GB2312" w:asciiTheme="minorEastAsia" w:hAnsiTheme="minorEastAsia"/>
              </w:rPr>
            </w:pPr>
            <w:r>
              <w:rPr>
                <w:rFonts w:hint="eastAsia" w:cs="楷体_GB2312" w:asciiTheme="minorEastAsia" w:hAnsiTheme="minorEastAsia"/>
              </w:rPr>
              <w:t>（9）宋莹莹，张赓，顾玲，杨进，王长明*（通讯作者），益气养阴通络方对糖尿病足小鼠胰岛素抵抗及胰岛β 细胞的干预作用。辽宁中医杂志2018 年第45 卷第5 期，1083-1087；</w:t>
            </w:r>
          </w:p>
          <w:p>
            <w:pPr>
              <w:spacing w:line="440" w:lineRule="exact"/>
              <w:rPr>
                <w:rFonts w:cs="楷体_GB2312" w:asciiTheme="minorEastAsia" w:hAnsiTheme="minorEastAsia"/>
              </w:rPr>
            </w:pPr>
            <w:r>
              <w:rPr>
                <w:rFonts w:hint="eastAsia" w:cs="楷体_GB2312" w:asciiTheme="minorEastAsia" w:hAnsiTheme="minorEastAsia"/>
              </w:rPr>
              <w:t>（10）王长明，顾铮*。（2016）高等中医院校人体解剖学教学探索。医学信息，29:11-12。</w:t>
            </w:r>
          </w:p>
          <w:p>
            <w:pPr>
              <w:spacing w:line="440" w:lineRule="exact"/>
              <w:rPr>
                <w:rFonts w:cs="楷体_GB2312" w:asciiTheme="minorEastAsia" w:hAnsiTheme="minorEastAsia"/>
              </w:rPr>
            </w:pPr>
            <w:r>
              <w:rPr>
                <w:rFonts w:hint="eastAsia" w:cs="楷体_GB2312" w:asciiTheme="minorEastAsia" w:hAnsiTheme="minorEastAsia"/>
              </w:rPr>
              <w:t>（11）顾铮, 邢春国, 王长明*（通讯作者）。(2015)浅谈网络时代的医学信息检索。医学信息，2015. 28（31）:2。</w:t>
            </w:r>
          </w:p>
          <w:p>
            <w:pPr>
              <w:spacing w:line="440" w:lineRule="exact"/>
              <w:rPr>
                <w:rFonts w:cs="楷体_GB2312" w:asciiTheme="minorEastAsia" w:hAnsiTheme="minorEastAsia"/>
              </w:rPr>
            </w:pPr>
            <w:r>
              <w:rPr>
                <w:rFonts w:hint="eastAsia" w:cs="楷体_GB2312" w:asciiTheme="minorEastAsia" w:hAnsiTheme="minorEastAsia"/>
              </w:rPr>
              <w:t>（12）王长明，于光，孟怡倩，唐宗湘*。（2015） 骨癌痛动物模型及在中医药研究中的应用。南京中医药大学学报，31(2)：198-201。</w:t>
            </w:r>
          </w:p>
          <w:p>
            <w:pPr>
              <w:spacing w:line="440" w:lineRule="exact"/>
              <w:rPr>
                <w:rFonts w:cs="楷体_GB2312" w:asciiTheme="minorEastAsia" w:hAnsiTheme="minorEastAsia"/>
              </w:rPr>
            </w:pPr>
            <w:r>
              <w:rPr>
                <w:rFonts w:hint="eastAsia" w:cs="楷体_GB2312" w:asciiTheme="minorEastAsia" w:hAnsiTheme="minorEastAsia"/>
              </w:rPr>
              <w:t>（13）王长明，田铧*，张立平，扈燕来，徐 蕴，邰浩清，丁海玲。（2011）体外诱导外周血单核细胞表达淋巴管内皮细胞表型。解剖学杂志，34：593-595。</w:t>
            </w:r>
          </w:p>
          <w:p>
            <w:pPr>
              <w:spacing w:line="440" w:lineRule="exact"/>
              <w:rPr>
                <w:rFonts w:cs="楷体_GB2312" w:asciiTheme="minorEastAsia" w:hAnsiTheme="minorEastAsia"/>
              </w:rPr>
            </w:pPr>
            <w:r>
              <w:rPr>
                <w:rFonts w:hint="eastAsia" w:cs="楷体_GB2312" w:asciiTheme="minorEastAsia" w:hAnsiTheme="minorEastAsia"/>
              </w:rPr>
              <w:t>（14）王长明, 田铧*, 梁艳红, 于伟, 肖琼, 张肇琳. (2009) 单核细胞被诱导表达淋巴管内皮细胞标志物. 山东大学学报, 11: 85-88.</w:t>
            </w:r>
          </w:p>
          <w:p>
            <w:pPr>
              <w:spacing w:line="360" w:lineRule="auto"/>
              <w:ind w:firstLine="240" w:firstLineChars="100"/>
              <w:rPr>
                <w:rFonts w:ascii="黑体" w:hAnsi="黑体" w:eastAsia="黑体" w:cs="Times New Roman"/>
                <w:sz w:val="24"/>
              </w:rPr>
            </w:pPr>
            <w:r>
              <w:rPr>
                <w:rFonts w:hint="eastAsia" w:ascii="黑体" w:hAnsi="黑体" w:eastAsia="黑体" w:cs="Times New Roman"/>
                <w:sz w:val="24"/>
              </w:rPr>
              <w:t>七、获得学术奖励</w:t>
            </w:r>
          </w:p>
          <w:p>
            <w:pPr>
              <w:spacing w:line="440" w:lineRule="exact"/>
              <w:rPr>
                <w:rFonts w:cs="楷体_GB2312" w:asciiTheme="minorEastAsia" w:hAnsiTheme="minorEastAsia"/>
              </w:rPr>
            </w:pPr>
            <w:r>
              <w:rPr>
                <w:rFonts w:hint="eastAsia" w:ascii="黑体" w:hAnsi="黑体" w:eastAsia="黑体" w:cs="Times New Roman"/>
                <w:sz w:val="24"/>
              </w:rPr>
              <w:t>（1）2019</w:t>
            </w:r>
            <w:r>
              <w:rPr>
                <w:rFonts w:hint="eastAsia" w:cs="楷体_GB2312" w:asciiTheme="minorEastAsia" w:hAnsiTheme="minorEastAsia"/>
              </w:rPr>
              <w:t>年南京中医药大学第三届“以岭中医药奖”二等奖，排名第一，校级。</w:t>
            </w:r>
          </w:p>
          <w:p>
            <w:pPr>
              <w:spacing w:line="440" w:lineRule="exact"/>
              <w:rPr>
                <w:rFonts w:ascii="楷体" w:hAnsi="楷体" w:eastAsia="楷体" w:cs="宋体"/>
              </w:rPr>
            </w:pPr>
            <w:r>
              <w:rPr>
                <w:rFonts w:hint="eastAsia" w:cs="楷体_GB2312" w:asciiTheme="minorEastAsia" w:hAnsiTheme="minorEastAsia"/>
              </w:rPr>
              <w:t>（2）</w:t>
            </w:r>
            <w:r>
              <w:rPr>
                <w:rFonts w:hint="eastAsia" w:cs="楷体_GB2312" w:asciiTheme="minorEastAsia" w:hAnsiTheme="minorEastAsia"/>
                <w:b/>
              </w:rPr>
              <w:t>王长明</w:t>
            </w:r>
            <w:r>
              <w:rPr>
                <w:rFonts w:hint="eastAsia" w:cs="楷体_GB2312" w:asciiTheme="minorEastAsia" w:hAnsiTheme="minorEastAsia"/>
              </w:rPr>
              <w:t>(</w:t>
            </w:r>
            <w:r>
              <w:rPr>
                <w:rFonts w:cs="楷体_GB2312" w:asciiTheme="minorEastAsia" w:hAnsiTheme="minorEastAsia"/>
              </w:rPr>
              <w:t>1/1</w:t>
            </w:r>
            <w:r>
              <w:rPr>
                <w:rFonts w:hint="eastAsia" w:cs="楷体_GB2312" w:asciiTheme="minorEastAsia" w:hAnsiTheme="minorEastAsia"/>
              </w:rPr>
              <w:t>7)</w:t>
            </w:r>
            <w:r>
              <w:rPr>
                <w:rFonts w:hint="eastAsia" w:ascii="Times New Roman" w:hAnsi="Times New Roman" w:cs="Times New Roman"/>
              </w:rPr>
              <w:t xml:space="preserve">, </w:t>
            </w:r>
            <w:r>
              <w:rPr>
                <w:rFonts w:hint="eastAsia" w:cs="楷体_GB2312" w:asciiTheme="minorEastAsia" w:hAnsiTheme="minorEastAsia"/>
              </w:rPr>
              <w:t>Pirt调节子宫收缩引起的疼痛</w:t>
            </w:r>
            <w:r>
              <w:rPr>
                <w:rFonts w:hint="eastAsia" w:ascii="Times New Roman" w:hAnsi="Times New Roman" w:cs="Times New Roman"/>
              </w:rPr>
              <w:t xml:space="preserve">, </w:t>
            </w:r>
            <w:r>
              <w:rPr>
                <w:rFonts w:hint="eastAsia" w:cs="楷体_GB2312" w:asciiTheme="minorEastAsia" w:hAnsiTheme="minorEastAsia"/>
              </w:rPr>
              <w:t>江苏省南京市</w:t>
            </w:r>
            <w:r>
              <w:rPr>
                <w:rFonts w:hint="eastAsia" w:ascii="Times New Roman" w:hAnsi="Times New Roman" w:cs="Times New Roman"/>
              </w:rPr>
              <w:t xml:space="preserve">, </w:t>
            </w:r>
            <w:r>
              <w:rPr>
                <w:rFonts w:hint="eastAsia" w:cs="楷体_GB2312" w:asciiTheme="minorEastAsia" w:hAnsiTheme="minorEastAsia"/>
              </w:rPr>
              <w:t>南京市第十二届自然科学优秀学术论文</w:t>
            </w:r>
            <w:r>
              <w:rPr>
                <w:rFonts w:hint="eastAsia" w:ascii="Times New Roman" w:hAnsi="Times New Roman" w:cs="Times New Roman"/>
              </w:rPr>
              <w:t xml:space="preserve">, </w:t>
            </w:r>
            <w:r>
              <w:rPr>
                <w:rFonts w:hint="eastAsia" w:cs="楷体_GB2312" w:asciiTheme="minorEastAsia" w:hAnsiTheme="minorEastAsia"/>
              </w:rPr>
              <w:t>优秀奖</w:t>
            </w:r>
            <w:r>
              <w:rPr>
                <w:rFonts w:hint="eastAsia" w:ascii="Times New Roman" w:hAnsi="Times New Roman" w:cs="Times New Roman"/>
              </w:rPr>
              <w:t xml:space="preserve">， </w:t>
            </w:r>
            <w:r>
              <w:rPr>
                <w:rFonts w:cs="楷体_GB2312" w:asciiTheme="minorEastAsia" w:hAnsiTheme="minorEastAsia"/>
              </w:rPr>
              <w:t>201</w:t>
            </w:r>
            <w:r>
              <w:rPr>
                <w:rFonts w:hint="eastAsia" w:cs="楷体_GB2312" w:asciiTheme="minorEastAsia" w:hAnsiTheme="minorEastAsia"/>
              </w:rPr>
              <w:t>8.(</w:t>
            </w:r>
            <w:r>
              <w:rPr>
                <w:rFonts w:hint="eastAsia" w:cs="楷体_GB2312" w:asciiTheme="minorEastAsia" w:hAnsiTheme="minorEastAsia"/>
                <w:b/>
              </w:rPr>
              <w:t>王长明</w:t>
            </w:r>
            <w:r>
              <w:rPr>
                <w:rFonts w:hint="eastAsia" w:cs="楷体_GB2312" w:asciiTheme="minorEastAsia" w:hAnsiTheme="minorEastAsia"/>
              </w:rPr>
              <w:t>，王中立，杨雁，朱婵，伍冠一，于光，简暾昱，杨妞妞，侍昊，唐敏，贺潜，兰蕾，刘琴，关云，董欣中，段金廒，唐宗湘)，排名第一，厅局级。</w:t>
            </w:r>
          </w:p>
          <w:p>
            <w:pPr>
              <w:spacing w:line="440" w:lineRule="exact"/>
              <w:rPr>
                <w:rFonts w:cs="楷体_GB2312" w:asciiTheme="minorEastAsia" w:hAnsiTheme="minorEastAsia"/>
              </w:rPr>
            </w:pPr>
            <w:r>
              <w:rPr>
                <w:rFonts w:hint="eastAsia" w:cs="楷体_GB2312" w:asciiTheme="minorEastAsia" w:hAnsiTheme="minorEastAsia"/>
              </w:rPr>
              <w:t>（3）2018年南京中医药大学“勤浩”优秀教师奖三等奖，排名第一，校级。</w:t>
            </w:r>
          </w:p>
          <w:p>
            <w:pPr>
              <w:spacing w:line="440" w:lineRule="exact"/>
              <w:rPr>
                <w:rFonts w:cs="楷体_GB2312" w:asciiTheme="minorEastAsia" w:hAnsiTheme="minorEastAsia"/>
              </w:rPr>
            </w:pPr>
            <w:r>
              <w:rPr>
                <w:rFonts w:hint="eastAsia" w:cs="楷体_GB2312" w:asciiTheme="minorEastAsia" w:hAnsiTheme="minorEastAsia"/>
              </w:rPr>
              <w:t>（4） 2017年南京中医药大学医学与生命科学学院青年学术论坛二等奖，排名第一，校级。</w:t>
            </w:r>
          </w:p>
          <w:p>
            <w:pPr>
              <w:spacing w:line="360" w:lineRule="auto"/>
              <w:rPr>
                <w:rFonts w:ascii="黑体" w:hAnsi="黑体" w:eastAsia="黑体" w:cs="Times New Roman"/>
                <w:sz w:val="24"/>
              </w:rPr>
            </w:pPr>
            <w:r>
              <w:rPr>
                <w:rFonts w:hint="eastAsia" w:cs="楷体_GB2312" w:asciiTheme="minorEastAsia" w:hAnsiTheme="minorEastAsia"/>
              </w:rPr>
              <w:t>（5）</w:t>
            </w:r>
            <w:r>
              <w:rPr>
                <w:rFonts w:hint="eastAsia" w:ascii="黑体" w:hAnsi="黑体" w:eastAsia="黑体" w:cs="Times New Roman"/>
                <w:sz w:val="24"/>
              </w:rPr>
              <w:t>2014</w:t>
            </w:r>
            <w:r>
              <w:rPr>
                <w:rFonts w:hint="eastAsia" w:cs="楷体_GB2312" w:asciiTheme="minorEastAsia" w:hAnsiTheme="minorEastAsia"/>
              </w:rPr>
              <w:t>南京中医药大学青年教师教学比赛二等奖，排名第一，校级。</w:t>
            </w:r>
          </w:p>
          <w:p>
            <w:pPr>
              <w:spacing w:line="360" w:lineRule="auto"/>
              <w:ind w:firstLine="240" w:firstLineChars="100"/>
              <w:rPr>
                <w:rFonts w:ascii="黑体" w:hAnsi="黑体" w:eastAsia="黑体" w:cs="Times New Roman"/>
                <w:sz w:val="24"/>
              </w:rPr>
            </w:pPr>
            <w:r>
              <w:rPr>
                <w:rFonts w:hint="eastAsia" w:ascii="黑体" w:hAnsi="黑体" w:eastAsia="黑体" w:cs="Times New Roman"/>
                <w:sz w:val="24"/>
              </w:rPr>
              <w:t>八、申请专利</w:t>
            </w:r>
          </w:p>
          <w:p>
            <w:pPr>
              <w:spacing w:line="440" w:lineRule="exact"/>
              <w:rPr>
                <w:rFonts w:cs="楷体_GB2312" w:asciiTheme="minorEastAsia" w:hAnsiTheme="minorEastAsia"/>
              </w:rPr>
            </w:pPr>
            <w:r>
              <w:rPr>
                <w:rFonts w:cs="楷体_GB2312" w:asciiTheme="minorEastAsia" w:hAnsiTheme="minorEastAsia"/>
              </w:rPr>
              <w:t>（1）专利名称：一种测量不同小鼠冷痛模型行为差异的方法及其专用装置；受理号：201710422616.1；</w:t>
            </w:r>
            <w:r>
              <w:rPr>
                <w:rFonts w:hint="eastAsia" w:cs="楷体_GB2312" w:asciiTheme="minorEastAsia" w:hAnsiTheme="minorEastAsia"/>
              </w:rPr>
              <w:t>姓名：</w:t>
            </w:r>
            <w:r>
              <w:rPr>
                <w:rFonts w:hint="eastAsia" w:cs="楷体_GB2312" w:asciiTheme="minorEastAsia" w:hAnsiTheme="minorEastAsia"/>
                <w:b/>
              </w:rPr>
              <w:t>王长明</w:t>
            </w:r>
            <w:r>
              <w:rPr>
                <w:rFonts w:hint="eastAsia" w:cs="楷体_GB2312" w:asciiTheme="minorEastAsia" w:hAnsiTheme="minorEastAsia"/>
              </w:rPr>
              <w:t>，顾乐盈，阮永兰，戴晓斌，于光，唐宗湘。</w:t>
            </w:r>
          </w:p>
          <w:p>
            <w:pPr>
              <w:spacing w:line="440" w:lineRule="exact"/>
              <w:rPr>
                <w:rFonts w:cs="楷体_GB2312" w:asciiTheme="minorEastAsia" w:hAnsiTheme="minorEastAsia"/>
              </w:rPr>
            </w:pPr>
            <w:r>
              <w:rPr>
                <w:rFonts w:cs="楷体_GB2312" w:asciiTheme="minorEastAsia" w:hAnsiTheme="minorEastAsia"/>
              </w:rPr>
              <w:t>（2）</w:t>
            </w:r>
            <w:r>
              <w:rPr>
                <w:rFonts w:hint="eastAsia" w:cs="楷体_GB2312" w:asciiTheme="minorEastAsia" w:hAnsiTheme="minorEastAsia"/>
              </w:rPr>
              <w:t>金铃子散在制备防治神经病理性疼痛治病药物中的应用。2018，申请号：201810876733.X。姓名：</w:t>
            </w:r>
            <w:r>
              <w:rPr>
                <w:rFonts w:hint="eastAsia" w:cs="楷体_GB2312" w:asciiTheme="minorEastAsia" w:hAnsiTheme="minorEastAsia"/>
                <w:b/>
              </w:rPr>
              <w:t>王长明</w:t>
            </w:r>
            <w:r>
              <w:rPr>
                <w:rFonts w:hint="eastAsia" w:cs="楷体_GB2312" w:asciiTheme="minorEastAsia" w:hAnsiTheme="minorEastAsia"/>
              </w:rPr>
              <w:t>，于光，唐宗湘。</w:t>
            </w:r>
          </w:p>
          <w:p>
            <w:pPr>
              <w:spacing w:line="440" w:lineRule="exact"/>
              <w:rPr>
                <w:rFonts w:cs="楷体_GB2312" w:asciiTheme="minorEastAsia" w:hAnsiTheme="minorEastAsia"/>
              </w:rPr>
            </w:pPr>
            <w:r>
              <w:rPr>
                <w:rFonts w:hint="eastAsia" w:cs="楷体_GB2312" w:asciiTheme="minorEastAsia" w:hAnsiTheme="minorEastAsia"/>
              </w:rPr>
              <w:t>（3）羌活在制备防治神经病理性疼痛疾病药物中的应用。2018，申请号：201810959169.8 姓名：</w:t>
            </w:r>
            <w:r>
              <w:rPr>
                <w:rFonts w:hint="eastAsia" w:cs="楷体_GB2312" w:asciiTheme="minorEastAsia" w:hAnsiTheme="minorEastAsia"/>
                <w:b/>
              </w:rPr>
              <w:t>王长明</w:t>
            </w:r>
            <w:r>
              <w:rPr>
                <w:rFonts w:hint="eastAsia" w:cs="楷体_GB2312" w:asciiTheme="minorEastAsia" w:hAnsiTheme="minorEastAsia"/>
              </w:rPr>
              <w:t>，于光，唐宗湘，阮永兰，王地君。</w:t>
            </w:r>
          </w:p>
          <w:p>
            <w:pPr>
              <w:rPr>
                <w:rFonts w:hint="eastAsia" w:ascii="仿宋_GB2312" w:eastAsia="仿宋_GB2312"/>
                <w:sz w:val="24"/>
              </w:rPr>
            </w:pPr>
          </w:p>
          <w:p>
            <w:pPr>
              <w:rPr>
                <w:rFonts w:hint="eastAsia" w:ascii="仿宋_GB2312" w:eastAsia="仿宋_GB2312"/>
                <w:sz w:val="24"/>
              </w:rPr>
            </w:pPr>
          </w:p>
          <w:p>
            <w:pPr>
              <w:rPr>
                <w:rFonts w:ascii="仿宋_GB2312" w:eastAsia="仿宋_GB2312"/>
                <w:sz w:val="24"/>
              </w:rPr>
            </w:pPr>
          </w:p>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6" w:hRule="atLeast"/>
        </w:trPr>
        <w:tc>
          <w:tcPr>
            <w:tcW w:w="8702" w:type="dxa"/>
            <w:gridSpan w:val="6"/>
          </w:tcPr>
          <w:p>
            <w:pPr>
              <w:rPr>
                <w:rFonts w:ascii="仿宋_GB2312" w:eastAsia="仿宋_GB2312"/>
                <w:sz w:val="24"/>
              </w:rPr>
            </w:pPr>
            <w:r>
              <w:rPr>
                <w:rFonts w:hint="eastAsia" w:ascii="仿宋_GB2312" w:eastAsia="仿宋_GB2312"/>
                <w:sz w:val="24"/>
              </w:rPr>
              <w:t>对培养对象的要求与意愿：</w:t>
            </w:r>
          </w:p>
          <w:p>
            <w:pPr>
              <w:rPr>
                <w:rFonts w:hint="eastAsia" w:eastAsia="仿宋_GB2312"/>
                <w:b/>
                <w:bCs/>
                <w:sz w:val="24"/>
              </w:rPr>
            </w:pPr>
          </w:p>
          <w:p>
            <w:pPr>
              <w:rPr>
                <w:rFonts w:hint="eastAsia" w:eastAsia="仿宋_GB2312"/>
                <w:b/>
                <w:bCs/>
                <w:sz w:val="24"/>
              </w:rPr>
            </w:pPr>
            <w:r>
              <w:rPr>
                <w:rFonts w:hint="eastAsia" w:eastAsia="仿宋_GB2312"/>
                <w:b/>
                <w:bCs/>
                <w:sz w:val="24"/>
              </w:rPr>
              <w:t>1. 对科研有兴趣；</w:t>
            </w:r>
          </w:p>
          <w:p>
            <w:pPr>
              <w:rPr>
                <w:rFonts w:hint="eastAsia" w:eastAsia="仿宋_GB2312"/>
                <w:b/>
                <w:bCs/>
                <w:sz w:val="24"/>
              </w:rPr>
            </w:pPr>
            <w:r>
              <w:rPr>
                <w:rFonts w:hint="eastAsia" w:eastAsia="仿宋_GB2312"/>
                <w:b/>
                <w:bCs/>
                <w:sz w:val="24"/>
              </w:rPr>
              <w:t>2. 学习成绩优秀，班级前20名；</w:t>
            </w:r>
          </w:p>
          <w:p>
            <w:pPr>
              <w:rPr>
                <w:rFonts w:eastAsia="仿宋_GB2312"/>
                <w:b/>
                <w:bCs/>
                <w:sz w:val="24"/>
              </w:rPr>
            </w:pPr>
            <w:r>
              <w:rPr>
                <w:rFonts w:hint="eastAsia" w:eastAsia="仿宋_GB2312"/>
                <w:b/>
                <w:bCs/>
                <w:sz w:val="24"/>
              </w:rPr>
              <w:t>3. 动手能力强。</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5A0A7D"/>
    <w:multiLevelType w:val="multilevel"/>
    <w:tmpl w:val="295A0A7D"/>
    <w:lvl w:ilvl="0" w:tentative="0">
      <w:start w:val="1"/>
      <w:numFmt w:val="japaneseCounting"/>
      <w:lvlText w:val="%1、"/>
      <w:lvlJc w:val="left"/>
      <w:pPr>
        <w:ind w:left="720" w:hanging="480"/>
      </w:pPr>
      <w:rPr>
        <w:rFonts w:hint="default"/>
        <w:lang w:val="en-US"/>
      </w:rPr>
    </w:lvl>
    <w:lvl w:ilvl="1" w:tentative="0">
      <w:start w:val="1"/>
      <w:numFmt w:val="lowerLetter"/>
      <w:lvlText w:val="%2)"/>
      <w:lvlJc w:val="left"/>
      <w:pPr>
        <w:ind w:left="1080" w:hanging="420"/>
      </w:pPr>
    </w:lvl>
    <w:lvl w:ilvl="2" w:tentative="0">
      <w:start w:val="1"/>
      <w:numFmt w:val="lowerRoman"/>
      <w:lvlText w:val="%3."/>
      <w:lvlJc w:val="right"/>
      <w:pPr>
        <w:ind w:left="1500" w:hanging="420"/>
      </w:pPr>
    </w:lvl>
    <w:lvl w:ilvl="3" w:tentative="0">
      <w:start w:val="1"/>
      <w:numFmt w:val="decimal"/>
      <w:lvlText w:val="%4."/>
      <w:lvlJc w:val="left"/>
      <w:pPr>
        <w:ind w:left="1920" w:hanging="420"/>
      </w:pPr>
    </w:lvl>
    <w:lvl w:ilvl="4" w:tentative="0">
      <w:start w:val="1"/>
      <w:numFmt w:val="lowerLetter"/>
      <w:lvlText w:val="%5)"/>
      <w:lvlJc w:val="left"/>
      <w:pPr>
        <w:ind w:left="2340" w:hanging="420"/>
      </w:pPr>
    </w:lvl>
    <w:lvl w:ilvl="5" w:tentative="0">
      <w:start w:val="1"/>
      <w:numFmt w:val="lowerRoman"/>
      <w:lvlText w:val="%6."/>
      <w:lvlJc w:val="right"/>
      <w:pPr>
        <w:ind w:left="2760" w:hanging="420"/>
      </w:pPr>
    </w:lvl>
    <w:lvl w:ilvl="6" w:tentative="0">
      <w:start w:val="1"/>
      <w:numFmt w:val="decimal"/>
      <w:lvlText w:val="%7."/>
      <w:lvlJc w:val="left"/>
      <w:pPr>
        <w:ind w:left="3180" w:hanging="420"/>
      </w:pPr>
    </w:lvl>
    <w:lvl w:ilvl="7" w:tentative="0">
      <w:start w:val="1"/>
      <w:numFmt w:val="lowerLetter"/>
      <w:lvlText w:val="%8)"/>
      <w:lvlJc w:val="left"/>
      <w:pPr>
        <w:ind w:left="3600" w:hanging="420"/>
      </w:pPr>
    </w:lvl>
    <w:lvl w:ilvl="8" w:tentative="0">
      <w:start w:val="1"/>
      <w:numFmt w:val="lowerRoman"/>
      <w:lvlText w:val="%9."/>
      <w:lvlJc w:val="right"/>
      <w:pPr>
        <w:ind w:left="40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8267AA"/>
    <w:rsid w:val="00015449"/>
    <w:rsid w:val="000D3DBA"/>
    <w:rsid w:val="00231F6C"/>
    <w:rsid w:val="00451C6C"/>
    <w:rsid w:val="004E004C"/>
    <w:rsid w:val="005A3D0E"/>
    <w:rsid w:val="00791B8F"/>
    <w:rsid w:val="008146BF"/>
    <w:rsid w:val="04AE628C"/>
    <w:rsid w:val="097B5CCC"/>
    <w:rsid w:val="6EDB7BA1"/>
    <w:rsid w:val="74826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1"/>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customStyle="1" w:styleId="4">
    <w:name w:val="列出段落1"/>
    <w:basedOn w:val="1"/>
    <w:qFormat/>
    <w:uiPriority w:val="34"/>
    <w:pPr>
      <w:autoSpaceDE w:val="0"/>
      <w:autoSpaceDN w:val="0"/>
      <w:adjustRightInd w:val="0"/>
      <w:ind w:firstLine="420" w:firstLineChars="200"/>
      <w:jc w:val="left"/>
    </w:pPr>
    <w:rPr>
      <w:rFonts w:ascii="Arial" w:hAnsi="Arial" w:eastAsia="宋体" w:cs="Arial"/>
      <w:color w:val="000000"/>
      <w:kern w:val="0"/>
      <w:sz w:val="24"/>
    </w:rPr>
  </w:style>
  <w:style w:type="paragraph" w:styleId="5">
    <w:name w:val="List Paragraph"/>
    <w:basedOn w:val="1"/>
    <w:qFormat/>
    <w:uiPriority w:val="34"/>
    <w:pPr>
      <w:widowControl/>
      <w:adjustRightInd w:val="0"/>
      <w:snapToGrid w:val="0"/>
      <w:spacing w:after="200"/>
      <w:ind w:firstLine="420" w:firstLineChars="200"/>
      <w:jc w:val="left"/>
    </w:pPr>
    <w:rPr>
      <w:rFonts w:ascii="Tahoma" w:hAnsi="Tahoma" w:eastAsia="微软雅黑"/>
      <w:kern w:val="0"/>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4</Pages>
  <Words>545</Words>
  <Characters>3109</Characters>
  <Lines>25</Lines>
  <Paragraphs>7</Paragraphs>
  <TotalTime>14</TotalTime>
  <ScaleCrop>false</ScaleCrop>
  <LinksUpToDate>false</LinksUpToDate>
  <CharactersWithSpaces>3647</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2020-12-17T07:31:00Z</dcterms:created>
  <dc:creator>L°</dc:creator>
  <cp:lastModifiedBy>L°</cp:lastModifiedBy>
  <dcterms:modified xsi:type="dcterms:W3CDTF">2020-12-23T07:18:29Z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