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王岩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肥胖相关代谢性疾病的发病机制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王岩（</w:t>
            </w:r>
            <w:r>
              <w:fldChar w:fldCharType="begin"/>
            </w:r>
            <w:r>
              <w:instrText xml:space="preserve"> HYPERLINK "mailto:邮箱460163@njucm.edu.cn），医学博士，2020" </w:instrText>
            </w:r>
            <w:r>
              <w:fldChar w:fldCharType="separate"/>
            </w:r>
            <w:r>
              <w:rPr>
                <w:rStyle w:val="6"/>
                <w:rFonts w:hint="eastAsia" w:ascii="仿宋_GB2312" w:eastAsia="仿宋_GB2312"/>
                <w:sz w:val="24"/>
              </w:rPr>
              <w:t>邮箱4</w:t>
            </w:r>
            <w:r>
              <w:rPr>
                <w:rStyle w:val="6"/>
                <w:rFonts w:ascii="仿宋_GB2312" w:eastAsia="仿宋_GB2312"/>
                <w:sz w:val="24"/>
              </w:rPr>
              <w:t>60163@njucm.edu.cn），医学博士，</w:t>
            </w:r>
            <w:r>
              <w:rPr>
                <w:rStyle w:val="6"/>
                <w:rFonts w:hint="eastAsia" w:ascii="仿宋_GB2312" w:eastAsia="仿宋_GB2312"/>
                <w:sz w:val="24"/>
              </w:rPr>
              <w:t>2</w:t>
            </w:r>
            <w:r>
              <w:rPr>
                <w:rStyle w:val="6"/>
                <w:rFonts w:ascii="仿宋_GB2312" w:eastAsia="仿宋_GB2312"/>
                <w:sz w:val="24"/>
              </w:rPr>
              <w:t>020</w:t>
            </w:r>
            <w:r>
              <w:rPr>
                <w:rStyle w:val="6"/>
                <w:rFonts w:ascii="仿宋_GB2312" w:eastAsia="仿宋_GB2312"/>
                <w:sz w:val="24"/>
              </w:rPr>
              <w:fldChar w:fldCharType="end"/>
            </w:r>
            <w:r>
              <w:rPr>
                <w:rFonts w:hint="eastAsia" w:ascii="仿宋_GB2312" w:eastAsia="仿宋_GB2312"/>
                <w:sz w:val="24"/>
              </w:rPr>
              <w:t>年毕业于南京医科大学病理生理学专业，现任南京中医药大学医学院</w:t>
            </w:r>
            <w:r>
              <w:rPr>
                <w:rFonts w:hint="eastAsia" w:ascii="仿宋" w:hAnsi="仿宋" w:eastAsia="仿宋"/>
                <w:sz w:val="24"/>
              </w:rPr>
              <w:t>·</w:t>
            </w:r>
            <w:r>
              <w:rPr>
                <w:rFonts w:hint="eastAsia" w:ascii="仿宋_GB2312" w:eastAsia="仿宋_GB2312"/>
                <w:sz w:val="24"/>
              </w:rPr>
              <w:t>整合医学学院病理学与病理生理学学系教师，江苏省病理生理学会会员。目前主要从事巨噬细胞与肥胖及相关代谢性疾病的研究。曾主持过江苏省研究生科研创新计划研究项目，参与国家自然科学基金重大研究计划等研究项目。近</w:t>
            </w: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年在</w:t>
            </w:r>
            <w:r>
              <w:rPr>
                <w:rFonts w:ascii="仿宋_GB2312" w:eastAsia="仿宋_GB2312"/>
                <w:sz w:val="24"/>
              </w:rPr>
              <w:t>Biochemical Pharmacology</w:t>
            </w:r>
            <w:r>
              <w:rPr>
                <w:rFonts w:hint="eastAsia" w:ascii="仿宋_GB2312" w:eastAsia="仿宋_GB2312"/>
                <w:sz w:val="24"/>
              </w:rPr>
              <w:t>、Inflammation和Cardiovascular</w:t>
            </w:r>
            <w:r>
              <w:rPr>
                <w:rFonts w:ascii="仿宋_GB2312" w:eastAsia="仿宋_GB2312"/>
                <w:sz w:val="24"/>
              </w:rPr>
              <w:t xml:space="preserve"> Research</w:t>
            </w:r>
            <w:r>
              <w:rPr>
                <w:rFonts w:hint="eastAsia" w:ascii="仿宋_GB2312" w:eastAsia="仿宋_GB2312"/>
                <w:sz w:val="24"/>
              </w:rPr>
              <w:t>国际学术期刊上累计发表S</w:t>
            </w:r>
            <w:r>
              <w:rPr>
                <w:rFonts w:ascii="仿宋_GB2312" w:eastAsia="仿宋_GB2312"/>
                <w:sz w:val="24"/>
              </w:rPr>
              <w:t>CI</w:t>
            </w:r>
            <w:r>
              <w:rPr>
                <w:rFonts w:hint="eastAsia" w:ascii="仿宋_GB2312" w:eastAsia="仿宋_GB2312"/>
                <w:sz w:val="24"/>
              </w:rPr>
              <w:t>论文3篇。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近3年发表论文：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(1)</w:t>
            </w:r>
            <w:r>
              <w:rPr>
                <w:rFonts w:ascii="仿宋_GB2312" w:eastAsia="仿宋_GB2312"/>
                <w:sz w:val="24"/>
              </w:rPr>
              <w:tab/>
            </w:r>
            <w:r>
              <w:rPr>
                <w:rFonts w:ascii="仿宋_GB2312" w:eastAsia="仿宋_GB2312"/>
                <w:sz w:val="24"/>
              </w:rPr>
              <w:t>Zhu X</w:t>
            </w:r>
            <w:r>
              <w:rPr>
                <w:rFonts w:ascii="仿宋_GB2312" w:eastAsia="仿宋_GB2312"/>
                <w:sz w:val="24"/>
                <w:vertAlign w:val="superscript"/>
              </w:rPr>
              <w:t>1*</w:t>
            </w:r>
            <w:r>
              <w:rPr>
                <w:rFonts w:ascii="仿宋_GB2312" w:eastAsia="仿宋_GB2312"/>
                <w:sz w:val="24"/>
              </w:rPr>
              <w:t xml:space="preserve">, </w:t>
            </w:r>
            <w:r>
              <w:rPr>
                <w:rFonts w:ascii="仿宋_GB2312" w:eastAsia="仿宋_GB2312"/>
                <w:b/>
                <w:sz w:val="24"/>
              </w:rPr>
              <w:t>Wang Y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>, Zhu L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>, Zhu Y, Zhang K, Wang L, Bai H, Yang Q, Ben J, Zhang H, Li X, Xu Y, Chen Q</w:t>
            </w:r>
            <w:r>
              <w:rPr>
                <w:rFonts w:ascii="仿宋_GB2312" w:eastAsia="仿宋_GB2312"/>
                <w:sz w:val="24"/>
                <w:vertAlign w:val="superscript"/>
              </w:rPr>
              <w:t>*</w:t>
            </w:r>
            <w:r>
              <w:rPr>
                <w:rFonts w:ascii="仿宋_GB2312" w:eastAsia="仿宋_GB2312"/>
                <w:sz w:val="24"/>
              </w:rPr>
              <w:t>. SR-A1 prevents obesity-associated blood pressure elevation through suppressing overproduction of VEGF-B in macrophages.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Cardiovasc Res. 2020.</w:t>
            </w:r>
            <w:r>
              <w:t xml:space="preserve"> </w:t>
            </w:r>
            <w:r>
              <w:rPr>
                <w:rFonts w:ascii="仿宋_GB2312" w:eastAsia="仿宋_GB2312"/>
                <w:sz w:val="24"/>
              </w:rPr>
              <w:t>pii: cvaa030.</w:t>
            </w:r>
            <w:r>
              <w:rPr>
                <w:rFonts w:hint="eastAsia" w:ascii="仿宋_GB2312" w:eastAsia="仿宋_GB2312"/>
                <w:sz w:val="24"/>
              </w:rPr>
              <w:t>（IF:7.014）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(2)</w:t>
            </w:r>
            <w:r>
              <w:rPr>
                <w:rFonts w:ascii="仿宋_GB2312" w:eastAsia="仿宋_GB2312"/>
                <w:sz w:val="24"/>
              </w:rPr>
              <w:tab/>
            </w:r>
            <w:r>
              <w:rPr>
                <w:rFonts w:ascii="仿宋_GB2312" w:eastAsia="仿宋_GB2312"/>
                <w:sz w:val="24"/>
              </w:rPr>
              <w:t>Zong G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>, Zhu Y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 xml:space="preserve">, Zhang Y, </w:t>
            </w:r>
            <w:r>
              <w:rPr>
                <w:rFonts w:ascii="仿宋_GB2312" w:eastAsia="仿宋_GB2312"/>
                <w:b/>
                <w:sz w:val="24"/>
              </w:rPr>
              <w:t>Wang Y</w:t>
            </w:r>
            <w:r>
              <w:rPr>
                <w:rFonts w:ascii="仿宋_GB2312" w:eastAsia="仿宋_GB2312"/>
                <w:sz w:val="24"/>
              </w:rPr>
              <w:t>, Bai H, Yang Q, Ben J, Zhang H, Li X, Zhu X</w:t>
            </w:r>
            <w:r>
              <w:rPr>
                <w:rFonts w:ascii="仿宋_GB2312" w:eastAsia="仿宋_GB2312"/>
                <w:sz w:val="24"/>
                <w:vertAlign w:val="superscript"/>
              </w:rPr>
              <w:t>*</w:t>
            </w:r>
            <w:r>
              <w:rPr>
                <w:rFonts w:ascii="仿宋_GB2312" w:eastAsia="仿宋_GB2312"/>
                <w:sz w:val="24"/>
              </w:rPr>
              <w:t>, Chen Q</w:t>
            </w:r>
            <w:r>
              <w:rPr>
                <w:rFonts w:ascii="仿宋_GB2312" w:eastAsia="仿宋_GB2312"/>
                <w:sz w:val="24"/>
                <w:vertAlign w:val="superscript"/>
              </w:rPr>
              <w:t>*</w:t>
            </w:r>
            <w:r>
              <w:rPr>
                <w:rFonts w:ascii="仿宋_GB2312" w:eastAsia="仿宋_GB2312"/>
                <w:sz w:val="24"/>
              </w:rPr>
              <w:t>. SR-A1 suppresses colon inflammation and tumorigenesis through negative regulation of NF-κB signaling. Biochemical Pharmacology. 2018;154:335-343.</w:t>
            </w:r>
            <w:r>
              <w:rPr>
                <w:rFonts w:hint="eastAsia" w:ascii="仿宋_GB2312" w:eastAsia="仿宋_GB2312"/>
                <w:sz w:val="24"/>
              </w:rPr>
              <w:t>（IF:</w:t>
            </w:r>
            <w:r>
              <w:rPr>
                <w:rFonts w:ascii="仿宋_GB2312" w:eastAsia="仿宋_GB2312"/>
                <w:sz w:val="24"/>
              </w:rPr>
              <w:t>4.825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(3)</w:t>
            </w:r>
            <w:r>
              <w:rPr>
                <w:rFonts w:ascii="仿宋_GB2312" w:eastAsia="仿宋_GB2312"/>
                <w:sz w:val="24"/>
              </w:rPr>
              <w:tab/>
            </w:r>
            <w:r>
              <w:rPr>
                <w:rFonts w:ascii="仿宋_GB2312" w:eastAsia="仿宋_GB2312"/>
                <w:sz w:val="24"/>
              </w:rPr>
              <w:t>Zhu L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>, Fan L</w:t>
            </w:r>
            <w:r>
              <w:rPr>
                <w:rFonts w:ascii="仿宋_GB2312" w:eastAsia="仿宋_GB2312"/>
                <w:sz w:val="24"/>
                <w:vertAlign w:val="superscript"/>
              </w:rPr>
              <w:t>1</w:t>
            </w:r>
            <w:r>
              <w:rPr>
                <w:rFonts w:ascii="仿宋_GB2312" w:eastAsia="仿宋_GB2312"/>
                <w:sz w:val="24"/>
              </w:rPr>
              <w:t xml:space="preserve">, Zhu Y, </w:t>
            </w:r>
            <w:r>
              <w:rPr>
                <w:rFonts w:ascii="仿宋_GB2312" w:eastAsia="仿宋_GB2312"/>
                <w:b/>
                <w:sz w:val="24"/>
              </w:rPr>
              <w:t>Wang Y</w:t>
            </w:r>
            <w:r>
              <w:rPr>
                <w:rFonts w:ascii="仿宋_GB2312" w:eastAsia="仿宋_GB2312"/>
                <w:sz w:val="24"/>
              </w:rPr>
              <w:t>, Bai H, Yang Q, Ben J, Zhang H, Li X, Zhu X</w:t>
            </w:r>
            <w:r>
              <w:rPr>
                <w:rFonts w:ascii="仿宋_GB2312" w:eastAsia="仿宋_GB2312"/>
                <w:sz w:val="24"/>
                <w:vertAlign w:val="superscript"/>
              </w:rPr>
              <w:t>*</w:t>
            </w:r>
            <w:r>
              <w:rPr>
                <w:rFonts w:ascii="仿宋_GB2312" w:eastAsia="仿宋_GB2312"/>
                <w:sz w:val="24"/>
              </w:rPr>
              <w:t>, Chen Q</w:t>
            </w:r>
            <w:r>
              <w:rPr>
                <w:rFonts w:ascii="仿宋_GB2312" w:eastAsia="仿宋_GB2312"/>
                <w:sz w:val="24"/>
                <w:vertAlign w:val="superscript"/>
              </w:rPr>
              <w:t>*</w:t>
            </w:r>
            <w:r>
              <w:rPr>
                <w:rFonts w:ascii="仿宋_GB2312" w:eastAsia="仿宋_GB2312"/>
                <w:sz w:val="24"/>
              </w:rPr>
              <w:t>. Insulin antagonizes LPS-induced inflammatory responses by activating SR-A1/ERK axis in macrophages. Inflammation. 2019;42(2):754-762.</w:t>
            </w:r>
            <w:r>
              <w:rPr>
                <w:rFonts w:hint="eastAsia" w:ascii="仿宋_GB2312" w:eastAsia="仿宋_GB2312"/>
                <w:sz w:val="24"/>
              </w:rPr>
              <w:t>（IF:</w:t>
            </w:r>
            <w:r>
              <w:rPr>
                <w:rFonts w:ascii="仿宋_GB2312" w:eastAsia="仿宋_GB2312"/>
                <w:sz w:val="24"/>
              </w:rPr>
              <w:t>2.939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注：</w:t>
            </w:r>
            <w:r>
              <w:rPr>
                <w:rFonts w:hint="eastAsia" w:ascii="仿宋_GB2312" w:eastAsia="仿宋_GB2312"/>
                <w:sz w:val="24"/>
                <w:vertAlign w:val="superscript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为共同第一作者，</w:t>
            </w:r>
            <w:r>
              <w:rPr>
                <w:rFonts w:hint="eastAsia" w:ascii="仿宋_GB2312" w:eastAsia="仿宋_GB2312"/>
                <w:sz w:val="24"/>
                <w:vertAlign w:val="superscript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为通讯作者。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身心健康、意志坚韧、吃苦耐劳，每周需花费一定时间在实验室工作和学习。</w:t>
            </w:r>
          </w:p>
          <w:p>
            <w:pPr>
              <w:pStyle w:val="8"/>
              <w:ind w:left="375" w:firstLine="0" w:firstLineChars="0"/>
              <w:rPr>
                <w:rFonts w:eastAsia="仿宋_GB2312"/>
                <w:bCs/>
                <w:sz w:val="24"/>
              </w:rPr>
            </w:pP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学习基础良好、科研兴趣浓厚，具备较强的动手能力和解决问题的能力。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43D5"/>
    <w:multiLevelType w:val="multilevel"/>
    <w:tmpl w:val="0CFC43D5"/>
    <w:lvl w:ilvl="0" w:tentative="0">
      <w:start w:val="1"/>
      <w:numFmt w:val="decimal"/>
      <w:lvlText w:val="%1、"/>
      <w:lvlJc w:val="left"/>
      <w:pPr>
        <w:ind w:left="375" w:hanging="375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8267AA"/>
    <w:rsid w:val="000500AF"/>
    <w:rsid w:val="0012724C"/>
    <w:rsid w:val="00216BE5"/>
    <w:rsid w:val="002B77F1"/>
    <w:rsid w:val="0030629C"/>
    <w:rsid w:val="00434DEC"/>
    <w:rsid w:val="004C5493"/>
    <w:rsid w:val="005716F9"/>
    <w:rsid w:val="005F03EF"/>
    <w:rsid w:val="006A4292"/>
    <w:rsid w:val="007A2BD2"/>
    <w:rsid w:val="00823C03"/>
    <w:rsid w:val="00873F81"/>
    <w:rsid w:val="00894FF8"/>
    <w:rsid w:val="00922989"/>
    <w:rsid w:val="00B80643"/>
    <w:rsid w:val="00C12804"/>
    <w:rsid w:val="04AE628C"/>
    <w:rsid w:val="057F7B12"/>
    <w:rsid w:val="690810A1"/>
    <w:rsid w:val="72615C62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8">
    <w:name w:val="List Paragraph"/>
    <w:basedOn w:val="1"/>
    <w:uiPriority w:val="99"/>
    <w:pPr>
      <w:ind w:firstLine="420" w:firstLineChars="200"/>
    </w:pPr>
  </w:style>
  <w:style w:type="character" w:customStyle="1" w:styleId="9">
    <w:name w:val="页眉 字符"/>
    <w:basedOn w:val="5"/>
    <w:link w:val="3"/>
    <w:qFormat/>
    <w:uiPriority w:val="0"/>
    <w:rPr>
      <w:rFonts w:ascii="Calibri" w:hAnsi="Calibri" w:eastAsiaTheme="minorEastAsia" w:cstheme="minorBidi"/>
      <w:kern w:val="21"/>
      <w:sz w:val="18"/>
      <w:szCs w:val="18"/>
    </w:rPr>
  </w:style>
  <w:style w:type="character" w:customStyle="1" w:styleId="10">
    <w:name w:val="页脚 字符"/>
    <w:basedOn w:val="5"/>
    <w:link w:val="2"/>
    <w:uiPriority w:val="0"/>
    <w:rPr>
      <w:rFonts w:ascii="Calibri" w:hAnsi="Calibri" w:eastAsiaTheme="minorEastAsia" w:cstheme="minorBidi"/>
      <w:kern w:val="2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196</Words>
  <Characters>1119</Characters>
  <Lines>9</Lines>
  <Paragraphs>2</Paragraphs>
  <TotalTime>29</TotalTime>
  <ScaleCrop>false</ScaleCrop>
  <LinksUpToDate>false</LinksUpToDate>
  <CharactersWithSpaces>1313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2020-12-18T03:30:00Z</dcterms:created>
  <dc:creator>L°</dc:creator>
  <cp:lastModifiedBy>L°</cp:lastModifiedBy>
  <dcterms:modified xsi:type="dcterms:W3CDTF">2020-12-23T07:18:21Z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